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8ACC1C"/>
    <w:p w14:paraId="6D6F32F5">
      <w:pPr>
        <w:spacing w:line="540" w:lineRule="exact"/>
        <w:jc w:val="center"/>
        <w:rPr>
          <w:rFonts w:eastAsia="华文中宋"/>
          <w:b/>
          <w:kern w:val="0"/>
          <w:sz w:val="52"/>
          <w:szCs w:val="52"/>
        </w:rPr>
      </w:pPr>
    </w:p>
    <w:p w14:paraId="7D36C769">
      <w:pPr>
        <w:spacing w:line="540" w:lineRule="exact"/>
        <w:rPr>
          <w:rFonts w:eastAsia="华文中宋"/>
          <w:b/>
          <w:kern w:val="0"/>
          <w:sz w:val="52"/>
          <w:szCs w:val="52"/>
        </w:rPr>
      </w:pPr>
    </w:p>
    <w:p w14:paraId="2C9EFEC0">
      <w:pPr>
        <w:spacing w:line="540" w:lineRule="exact"/>
        <w:jc w:val="center"/>
        <w:rPr>
          <w:rFonts w:eastAsia="华文中宋"/>
          <w:b/>
          <w:kern w:val="0"/>
          <w:sz w:val="52"/>
          <w:szCs w:val="52"/>
        </w:rPr>
      </w:pPr>
    </w:p>
    <w:p w14:paraId="0F3AA666">
      <w:pPr>
        <w:spacing w:line="540" w:lineRule="exact"/>
        <w:jc w:val="center"/>
        <w:rPr>
          <w:rFonts w:hint="eastAsia" w:ascii="方正小标宋_GBK" w:hAnsi="方正小标宋_GBK" w:eastAsia="方正小标宋_GBK" w:cs="方正小标宋_GBK"/>
          <w:kern w:val="0"/>
          <w:sz w:val="48"/>
          <w:szCs w:val="48"/>
          <w:lang w:val="en-US" w:eastAsia="zh-CN"/>
        </w:rPr>
      </w:pPr>
      <w:r>
        <w:rPr>
          <w:rFonts w:hint="eastAsia" w:ascii="方正小标宋_GBK" w:hAnsi="方正小标宋_GBK" w:eastAsia="方正小标宋_GBK" w:cs="方正小标宋_GBK"/>
          <w:kern w:val="0"/>
          <w:sz w:val="48"/>
          <w:szCs w:val="48"/>
          <w:lang w:val="en-US" w:eastAsia="zh-CN"/>
        </w:rPr>
        <w:t>乌鲁木齐市第136小学公用经费</w:t>
      </w:r>
    </w:p>
    <w:p w14:paraId="6F737A7A">
      <w:pPr>
        <w:spacing w:line="540" w:lineRule="exact"/>
        <w:jc w:val="center"/>
        <w:rPr>
          <w:rFonts w:ascii="方正小标宋_GBK" w:hAnsi="方正小标宋_GBK" w:eastAsia="方正小标宋_GBK" w:cs="方正小标宋_GBK"/>
          <w:kern w:val="0"/>
          <w:sz w:val="48"/>
          <w:szCs w:val="48"/>
        </w:rPr>
      </w:pPr>
      <w:r>
        <w:rPr>
          <w:rFonts w:hint="eastAsia" w:ascii="方正小标宋_GBK" w:hAnsi="方正小标宋_GBK" w:eastAsia="方正小标宋_GBK" w:cs="方正小标宋_GBK"/>
          <w:kern w:val="0"/>
          <w:sz w:val="48"/>
          <w:szCs w:val="48"/>
        </w:rPr>
        <w:t>项目支出绩效评价报告</w:t>
      </w:r>
    </w:p>
    <w:p w14:paraId="4258F08E">
      <w:pPr>
        <w:spacing w:line="540" w:lineRule="exact"/>
        <w:jc w:val="center"/>
        <w:rPr>
          <w:rFonts w:eastAsia="华文中宋"/>
          <w:b/>
          <w:kern w:val="0"/>
          <w:sz w:val="52"/>
          <w:szCs w:val="52"/>
        </w:rPr>
      </w:pPr>
    </w:p>
    <w:p w14:paraId="0C0206C7">
      <w:pPr>
        <w:spacing w:line="540" w:lineRule="exact"/>
        <w:jc w:val="center"/>
        <w:rPr>
          <w:rFonts w:eastAsia="仿宋_GB2312"/>
          <w:kern w:val="0"/>
          <w:sz w:val="36"/>
          <w:szCs w:val="36"/>
        </w:rPr>
      </w:pPr>
      <w:r>
        <w:rPr>
          <w:rFonts w:eastAsia="仿宋_GB2312"/>
          <w:kern w:val="0"/>
          <w:sz w:val="36"/>
          <w:szCs w:val="36"/>
        </w:rPr>
        <w:t>（202</w:t>
      </w:r>
      <w:r>
        <w:rPr>
          <w:rFonts w:hint="eastAsia" w:eastAsia="仿宋_GB2312"/>
          <w:kern w:val="0"/>
          <w:sz w:val="36"/>
          <w:szCs w:val="36"/>
          <w:lang w:val="en-US" w:eastAsia="zh-CN"/>
        </w:rPr>
        <w:t>4</w:t>
      </w:r>
      <w:r>
        <w:rPr>
          <w:rFonts w:eastAsia="仿宋_GB2312"/>
          <w:kern w:val="0"/>
          <w:sz w:val="36"/>
          <w:szCs w:val="36"/>
        </w:rPr>
        <w:t>年度）</w:t>
      </w:r>
    </w:p>
    <w:p w14:paraId="42B71C5C">
      <w:pPr>
        <w:spacing w:line="540" w:lineRule="exact"/>
        <w:jc w:val="center"/>
        <w:rPr>
          <w:rFonts w:eastAsia="仿宋_GB2312"/>
          <w:kern w:val="0"/>
          <w:sz w:val="30"/>
          <w:szCs w:val="30"/>
        </w:rPr>
      </w:pPr>
    </w:p>
    <w:p w14:paraId="14FDD494">
      <w:pPr>
        <w:spacing w:line="540" w:lineRule="exact"/>
        <w:jc w:val="center"/>
        <w:rPr>
          <w:rFonts w:eastAsia="仿宋_GB2312"/>
          <w:kern w:val="0"/>
          <w:sz w:val="30"/>
          <w:szCs w:val="30"/>
        </w:rPr>
      </w:pPr>
    </w:p>
    <w:p w14:paraId="45B4279B">
      <w:pPr>
        <w:spacing w:line="540" w:lineRule="exact"/>
        <w:jc w:val="center"/>
        <w:rPr>
          <w:rFonts w:eastAsia="仿宋_GB2312"/>
          <w:kern w:val="0"/>
          <w:sz w:val="30"/>
          <w:szCs w:val="30"/>
        </w:rPr>
      </w:pPr>
    </w:p>
    <w:p w14:paraId="427A5D7D">
      <w:pPr>
        <w:pStyle w:val="2"/>
      </w:pPr>
    </w:p>
    <w:p w14:paraId="56142B4E">
      <w:pPr>
        <w:spacing w:line="540" w:lineRule="exact"/>
        <w:jc w:val="center"/>
        <w:rPr>
          <w:rFonts w:eastAsia="仿宋_GB2312"/>
          <w:kern w:val="0"/>
          <w:sz w:val="30"/>
          <w:szCs w:val="30"/>
        </w:rPr>
      </w:pPr>
    </w:p>
    <w:p w14:paraId="1039E249">
      <w:pPr>
        <w:spacing w:line="540" w:lineRule="exact"/>
        <w:rPr>
          <w:rFonts w:eastAsia="仿宋_GB2312"/>
          <w:kern w:val="0"/>
          <w:sz w:val="30"/>
          <w:szCs w:val="30"/>
        </w:rPr>
      </w:pPr>
    </w:p>
    <w:p w14:paraId="18CEC973">
      <w:pPr>
        <w:pStyle w:val="2"/>
        <w:rPr>
          <w:rFonts w:eastAsia="仿宋_GB2312"/>
          <w:kern w:val="0"/>
          <w:sz w:val="30"/>
          <w:szCs w:val="30"/>
        </w:rPr>
      </w:pPr>
    </w:p>
    <w:p w14:paraId="3ECF5C19"/>
    <w:p w14:paraId="70B8C930">
      <w:r>
        <w:rPr>
          <w:rFonts w:hint="eastAsia" w:ascii="宋体" w:hAnsi="宋体" w:eastAsia="宋体" w:cs="宋体"/>
          <w:b/>
          <w:bCs/>
          <w:i w:val="0"/>
          <w:iCs w:val="0"/>
          <w:color w:val="000000"/>
          <w:sz w:val="32"/>
          <w:szCs w:val="32"/>
          <w:u w:val="none"/>
        </w:rPr>
        <w:drawing>
          <wp:anchor distT="0" distB="0" distL="114300" distR="114300" simplePos="0" relativeHeight="251659264" behindDoc="1" locked="0" layoutInCell="1" allowOverlap="1">
            <wp:simplePos x="0" y="0"/>
            <wp:positionH relativeFrom="column">
              <wp:posOffset>2025015</wp:posOffset>
            </wp:positionH>
            <wp:positionV relativeFrom="paragraph">
              <wp:posOffset>10795</wp:posOffset>
            </wp:positionV>
            <wp:extent cx="1715770" cy="1630680"/>
            <wp:effectExtent l="0" t="0" r="0" b="7620"/>
            <wp:wrapNone/>
            <wp:docPr id="1" name="图片 1" descr="136章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36章子"/>
                    <pic:cNvPicPr>
                      <a:picLocks noChangeAspect="1"/>
                    </pic:cNvPicPr>
                  </pic:nvPicPr>
                  <pic:blipFill>
                    <a:blip r:embed="rId6"/>
                    <a:stretch>
                      <a:fillRect/>
                    </a:stretch>
                  </pic:blipFill>
                  <pic:spPr>
                    <a:xfrm>
                      <a:off x="0" y="0"/>
                      <a:ext cx="1715770" cy="1630680"/>
                    </a:xfrm>
                    <a:prstGeom prst="rect">
                      <a:avLst/>
                    </a:prstGeom>
                  </pic:spPr>
                </pic:pic>
              </a:graphicData>
            </a:graphic>
          </wp:anchor>
        </w:drawing>
      </w:r>
    </w:p>
    <w:p w14:paraId="19B0FCC4">
      <w:pPr>
        <w:spacing w:line="700" w:lineRule="exact"/>
        <w:ind w:left="420" w:leftChars="200"/>
        <w:rPr>
          <w:rFonts w:eastAsia="仿宋_GB2312"/>
          <w:kern w:val="0"/>
          <w:sz w:val="36"/>
          <w:szCs w:val="36"/>
        </w:rPr>
      </w:pPr>
      <w:r>
        <w:rPr>
          <w:rFonts w:eastAsia="仿宋_GB2312"/>
          <w:kern w:val="0"/>
          <w:sz w:val="36"/>
          <w:szCs w:val="36"/>
        </w:rPr>
        <w:t>项目名称：</w:t>
      </w:r>
      <w:r>
        <w:rPr>
          <w:rFonts w:hint="eastAsia" w:eastAsia="仿宋_GB2312"/>
          <w:kern w:val="0"/>
          <w:sz w:val="36"/>
          <w:szCs w:val="36"/>
        </w:rPr>
        <w:t>乌鲁木齐市第</w:t>
      </w:r>
      <w:r>
        <w:rPr>
          <w:rFonts w:hint="eastAsia" w:eastAsia="仿宋_GB2312"/>
          <w:kern w:val="0"/>
          <w:sz w:val="36"/>
          <w:szCs w:val="36"/>
          <w:lang w:val="en-US" w:eastAsia="zh-CN"/>
        </w:rPr>
        <w:t>136</w:t>
      </w:r>
      <w:r>
        <w:rPr>
          <w:rFonts w:hint="eastAsia" w:eastAsia="仿宋_GB2312"/>
          <w:kern w:val="0"/>
          <w:sz w:val="36"/>
          <w:szCs w:val="36"/>
        </w:rPr>
        <w:t>小学公用经费</w:t>
      </w:r>
    </w:p>
    <w:p w14:paraId="04AE1004">
      <w:pPr>
        <w:spacing w:line="700" w:lineRule="exact"/>
        <w:ind w:left="420" w:leftChars="200"/>
        <w:rPr>
          <w:rFonts w:eastAsia="仿宋_GB2312"/>
          <w:kern w:val="0"/>
          <w:sz w:val="36"/>
          <w:szCs w:val="36"/>
        </w:rPr>
      </w:pPr>
      <w:r>
        <w:rPr>
          <w:rFonts w:eastAsia="仿宋_GB2312"/>
          <w:kern w:val="0"/>
          <w:sz w:val="36"/>
          <w:szCs w:val="36"/>
        </w:rPr>
        <w:t>实施单位（公章）：</w:t>
      </w:r>
      <w:r>
        <w:rPr>
          <w:rFonts w:hint="eastAsia" w:eastAsia="仿宋_GB2312"/>
          <w:kern w:val="0"/>
          <w:sz w:val="36"/>
          <w:szCs w:val="36"/>
        </w:rPr>
        <w:t>乌鲁木齐市第</w:t>
      </w:r>
      <w:r>
        <w:rPr>
          <w:rFonts w:hint="eastAsia" w:eastAsia="仿宋_GB2312"/>
          <w:kern w:val="0"/>
          <w:sz w:val="36"/>
          <w:szCs w:val="36"/>
          <w:lang w:val="en-US" w:eastAsia="zh-CN"/>
        </w:rPr>
        <w:t>136</w:t>
      </w:r>
      <w:r>
        <w:rPr>
          <w:rFonts w:hint="eastAsia" w:eastAsia="仿宋_GB2312"/>
          <w:kern w:val="0"/>
          <w:sz w:val="36"/>
          <w:szCs w:val="36"/>
        </w:rPr>
        <w:t>小学</w:t>
      </w:r>
    </w:p>
    <w:p w14:paraId="6FDE7729">
      <w:pPr>
        <w:spacing w:line="700" w:lineRule="exact"/>
        <w:ind w:left="420" w:leftChars="200"/>
        <w:rPr>
          <w:rFonts w:hint="eastAsia" w:eastAsia="仿宋_GB2312"/>
          <w:kern w:val="0"/>
          <w:sz w:val="36"/>
          <w:szCs w:val="36"/>
          <w:lang w:val="en-US" w:eastAsia="zh-CN"/>
        </w:rPr>
      </w:pPr>
      <w:r>
        <w:rPr>
          <w:rFonts w:eastAsia="仿宋_GB2312"/>
          <w:kern w:val="0"/>
          <w:sz w:val="36"/>
          <w:szCs w:val="36"/>
        </w:rPr>
        <w:t>主管</w:t>
      </w:r>
      <w:r>
        <w:rPr>
          <w:rFonts w:hint="eastAsia" w:eastAsia="仿宋_GB2312"/>
          <w:kern w:val="0"/>
          <w:sz w:val="36"/>
          <w:szCs w:val="36"/>
          <w:lang w:val="en-US" w:eastAsia="zh-CN"/>
        </w:rPr>
        <w:t>部门（公章）：乌鲁木齐市第136小学</w:t>
      </w:r>
    </w:p>
    <w:p w14:paraId="5522603E">
      <w:pPr>
        <w:spacing w:line="700" w:lineRule="exact"/>
        <w:ind w:left="420" w:leftChars="200"/>
        <w:rPr>
          <w:rFonts w:hint="eastAsia" w:eastAsia="仿宋_GB2312"/>
          <w:kern w:val="0"/>
          <w:sz w:val="36"/>
          <w:szCs w:val="36"/>
          <w:lang w:val="en-US" w:eastAsia="zh-CN"/>
        </w:rPr>
      </w:pPr>
      <w:r>
        <w:rPr>
          <w:rFonts w:hint="eastAsia" w:eastAsia="仿宋_GB2312"/>
          <w:kern w:val="0"/>
          <w:sz w:val="36"/>
          <w:szCs w:val="36"/>
          <w:lang w:val="en-US" w:eastAsia="zh-CN"/>
        </w:rPr>
        <w:t>项目负责人（签章）：梁淼</w:t>
      </w:r>
    </w:p>
    <w:p w14:paraId="2C9DB283">
      <w:pPr>
        <w:spacing w:line="700" w:lineRule="exact"/>
        <w:ind w:left="420" w:leftChars="200"/>
        <w:rPr>
          <w:rFonts w:eastAsia="黑体"/>
          <w:bCs/>
          <w:sz w:val="32"/>
          <w:szCs w:val="32"/>
        </w:rPr>
      </w:pPr>
      <w:r>
        <w:rPr>
          <w:rFonts w:hint="eastAsia" w:eastAsia="仿宋_GB2312"/>
          <w:kern w:val="0"/>
          <w:sz w:val="36"/>
          <w:szCs w:val="36"/>
          <w:lang w:val="en-US" w:eastAsia="zh-CN"/>
        </w:rPr>
        <w:t>填报时间：2025年4月1日</w:t>
      </w:r>
    </w:p>
    <w:p w14:paraId="54A68B6C">
      <w:pPr>
        <w:spacing w:line="700" w:lineRule="exact"/>
        <w:ind w:left="420" w:leftChars="200"/>
        <w:rPr>
          <w:rFonts w:eastAsia="黑体"/>
          <w:bCs/>
          <w:sz w:val="32"/>
          <w:szCs w:val="32"/>
        </w:rPr>
        <w:sectPr>
          <w:footerReference r:id="rId3" w:type="default"/>
          <w:pgSz w:w="11906" w:h="16838"/>
          <w:pgMar w:top="1440" w:right="1558" w:bottom="1440" w:left="1800" w:header="851" w:footer="992" w:gutter="0"/>
          <w:pgNumType w:start="1"/>
          <w:cols w:space="425" w:num="1"/>
          <w:docGrid w:type="lines" w:linePitch="312" w:charSpace="0"/>
        </w:sectPr>
      </w:pPr>
      <w:r>
        <w:rPr>
          <w:rFonts w:hint="eastAsia" w:eastAsia="仿宋_GB2312"/>
          <w:kern w:val="0"/>
          <w:sz w:val="36"/>
          <w:szCs w:val="36"/>
          <w:lang w:val="en-US" w:eastAsia="zh-CN"/>
        </w:rPr>
        <w:drawing>
          <wp:anchor distT="0" distB="0" distL="114300" distR="114300" simplePos="0" relativeHeight="251660288" behindDoc="0" locked="0" layoutInCell="1" allowOverlap="1">
            <wp:simplePos x="0" y="0"/>
            <wp:positionH relativeFrom="column">
              <wp:posOffset>3759835</wp:posOffset>
            </wp:positionH>
            <wp:positionV relativeFrom="paragraph">
              <wp:posOffset>-175260</wp:posOffset>
            </wp:positionV>
            <wp:extent cx="834390" cy="459105"/>
            <wp:effectExtent l="0" t="0" r="0" b="17780"/>
            <wp:wrapNone/>
            <wp:docPr id="3" name="图片 3" descr="136签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36签字"/>
                    <pic:cNvPicPr>
                      <a:picLocks noChangeAspect="1"/>
                    </pic:cNvPicPr>
                  </pic:nvPicPr>
                  <pic:blipFill>
                    <a:blip r:embed="rId7"/>
                    <a:stretch>
                      <a:fillRect/>
                    </a:stretch>
                  </pic:blipFill>
                  <pic:spPr>
                    <a:xfrm>
                      <a:off x="0" y="0"/>
                      <a:ext cx="834390" cy="459105"/>
                    </a:xfrm>
                    <a:prstGeom prst="rect">
                      <a:avLst/>
                    </a:prstGeom>
                  </pic:spPr>
                </pic:pic>
              </a:graphicData>
            </a:graphic>
          </wp:anchor>
        </w:drawing>
      </w:r>
    </w:p>
    <w:p w14:paraId="717FCF5B">
      <w:pPr>
        <w:spacing w:line="560" w:lineRule="exact"/>
        <w:ind w:firstLine="640" w:firstLineChars="200"/>
        <w:rPr>
          <w:rFonts w:eastAsia="黑体"/>
          <w:bCs/>
          <w:sz w:val="32"/>
          <w:szCs w:val="32"/>
        </w:rPr>
      </w:pPr>
      <w:r>
        <w:rPr>
          <w:rFonts w:eastAsia="黑体"/>
          <w:bCs/>
          <w:sz w:val="32"/>
          <w:szCs w:val="32"/>
        </w:rPr>
        <w:t>一、基本情况</w:t>
      </w:r>
    </w:p>
    <w:p w14:paraId="1632E33A">
      <w:pPr>
        <w:spacing w:line="560" w:lineRule="exact"/>
        <w:ind w:firstLine="643" w:firstLineChars="200"/>
        <w:rPr>
          <w:rFonts w:eastAsia="楷体_GB2312"/>
          <w:b/>
          <w:bCs/>
          <w:sz w:val="32"/>
          <w:szCs w:val="32"/>
        </w:rPr>
      </w:pPr>
      <w:r>
        <w:rPr>
          <w:rFonts w:eastAsia="楷体_GB2312"/>
          <w:b/>
          <w:bCs/>
          <w:sz w:val="32"/>
          <w:szCs w:val="32"/>
        </w:rPr>
        <w:t>（一）项目概况</w:t>
      </w:r>
    </w:p>
    <w:p w14:paraId="00354513">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项目背景</w:t>
      </w:r>
    </w:p>
    <w:p w14:paraId="3C5D0606">
      <w:pPr>
        <w:pStyle w:val="19"/>
        <w:spacing w:line="560" w:lineRule="exact"/>
        <w:ind w:firstLine="640"/>
        <w:rPr>
          <w:rFonts w:hint="eastAsia" w:ascii="仿宋" w:hAnsi="仿宋" w:eastAsia="仿宋" w:cs="仿宋"/>
          <w:sz w:val="32"/>
          <w:szCs w:val="32"/>
          <w:highlight w:val="none"/>
          <w:lang w:val="en-US" w:eastAsia="zh-CN"/>
        </w:rPr>
      </w:pPr>
      <w:r>
        <w:rPr>
          <w:rFonts w:hint="eastAsia" w:ascii="仿宋" w:hAnsi="仿宋" w:eastAsia="仿宋" w:cs="仿宋"/>
          <w:kern w:val="2"/>
          <w:sz w:val="32"/>
          <w:szCs w:val="32"/>
          <w:highlight w:val="none"/>
          <w:lang w:val="en-US" w:eastAsia="zh-CN" w:bidi="ar-SA"/>
        </w:rPr>
        <w:t>根据《财政部教育部关于提前下达2024年城乡义务教育补助经费预算(中央直达资金)的通知》(财教[2023]215号)、自治区财政厅《关于提前下达2024年城乡义务教育补助经费预算(中央直达资金)的通知》(新财教〔2023]243号)及我单位2023年教育事业统计学生人数，市本级单位经市教育局核定后下达我单位2024年财政拨付1、乌财科教[2023]167号（公用经费-小学)：127.34万元，2、乌财科教[2023]167号（公用经费-特教）：3.08万元，3、乌财科教[2023]173号（公用经费-小学）：9.43万元，4、乌财科教[2023]173号（公用经费-特教）：0.23万元,5、城乡义务教育公用经费，18.29万元，6、义务教育阶段特殊教育学校随班就读残疾学生生均公用经费（区县配套）0.588万元。共计158.95万元。 主要用于：办公费共计31.92万元，预计开支次数28次以上；水费电费网费26.6万元，预计开支次数20次以上；物业管理费20万元，预计开支次数10次以上；维修（护）费30万元，预计开支次数6次以上；专用材料费5万元，预计开支次数5次以上；其他学生活动费用15.04万元，预计开支次数8次以上；教学设备购置30万元，预计开支次数12次以上。</w:t>
      </w:r>
    </w:p>
    <w:p w14:paraId="295FA0A2">
      <w:pPr>
        <w:spacing w:line="560" w:lineRule="exact"/>
        <w:ind w:firstLine="640" w:firstLineChars="200"/>
        <w:rPr>
          <w:rFonts w:hint="default" w:ascii="Times New Roman" w:hAnsi="Times New Roman" w:eastAsia="方正仿宋_GB2312" w:cs="Times New Roman"/>
          <w:sz w:val="32"/>
          <w:szCs w:val="32"/>
          <w:highlight w:val="none"/>
          <w:lang w:val="en-US" w:eastAsia="zh-CN"/>
        </w:rPr>
      </w:pPr>
      <w:r>
        <w:rPr>
          <w:rFonts w:hint="eastAsia" w:ascii="仿宋" w:hAnsi="仿宋" w:eastAsia="仿宋" w:cs="仿宋"/>
          <w:sz w:val="32"/>
          <w:szCs w:val="32"/>
          <w:highlight w:val="none"/>
          <w:lang w:val="en-US" w:eastAsia="zh-CN"/>
        </w:rPr>
        <w:t>从2023年春季学期起提高义务教育学校生均公用经费基准定额，小学由年均650元提高到720元，初中由850元提高到940元。在此基础上，将原来对寄宿制学校按照寄宿生年生均200元标准增加公用经费补助，提高到300元。</w:t>
      </w:r>
    </w:p>
    <w:p w14:paraId="3209D1CB">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rPr>
        <w:t>项目主要内容</w:t>
      </w:r>
      <w:r>
        <w:rPr>
          <w:rFonts w:hint="eastAsia" w:ascii="仿宋_GB2312" w:hAnsi="仿宋_GB2312" w:eastAsia="仿宋_GB2312" w:cs="仿宋_GB2312"/>
          <w:b/>
          <w:bCs/>
          <w:sz w:val="32"/>
          <w:szCs w:val="32"/>
          <w:lang w:val="en-US" w:eastAsia="zh-CN"/>
        </w:rPr>
        <w:t>及实施情况</w:t>
      </w:r>
    </w:p>
    <w:p w14:paraId="1B0A6459">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项目主要内容：该项目用于保障义务教育阶段学校正常运转、完成教育教学活动和其他日常工作任务等方面的支出，该经费的具体开支范围是：教学业务与管理、教学质量提升及第三方评价的政府购买服务、办公、会议、印刷、教师培训、实验实习、文体活动、水电、取暖、交通差旅、邮电、教育信息化网络费用、仪器设备及图书资料等购置、学生课桌凳、食堂设施设备的零星补充购置及维修维护，房屋、建筑物、校园内道路、围墙、大门、运动场地、教室内教师讲台及仪器设备的日常维修维护，校园绿化美化、校园文化建设等。</w:t>
      </w:r>
    </w:p>
    <w:p w14:paraId="398E8D28">
      <w:pPr>
        <w:pStyle w:val="19"/>
        <w:spacing w:line="560" w:lineRule="exact"/>
        <w:ind w:firstLine="640"/>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项目实施情况：项目目前已经完成实际设立的目标，项目在实施过程中严格按照目标设立的各阶段任务进行开展工作，在前期立项过程中严格把质量关，建立安全防护机制，保证项目实施各阶段安全顺利进行。截至2024年12月31日，项目主要</w:t>
      </w:r>
      <w:r>
        <w:rPr>
          <w:rFonts w:hint="eastAsia" w:ascii="仿宋" w:hAnsi="仿宋" w:eastAsia="仿宋" w:cs="仿宋"/>
          <w:sz w:val="32"/>
          <w:szCs w:val="32"/>
          <w:highlight w:val="none"/>
          <w:lang w:val="en-US" w:eastAsia="zh-CN"/>
        </w:rPr>
        <w:t>用于：</w:t>
      </w:r>
      <w:r>
        <w:rPr>
          <w:rFonts w:hint="eastAsia" w:ascii="仿宋" w:hAnsi="仿宋" w:eastAsia="仿宋" w:cs="仿宋"/>
          <w:sz w:val="32"/>
          <w:szCs w:val="32"/>
          <w:highlight w:val="none"/>
        </w:rPr>
        <w:t>1、13.13万元用于支付办公费12次，1.09万元/次；2、20.85万元用于支付水费电费网费13次，1.60万元/次；3、5.21万元用于支付物业管理费4次，1.30万元/次；4、8.14万元用于支付维修（护）费6次，1.36万元/次；5、19.03万元用于支付专用材料费11次，1.73万元/次；6、22.16万元用于办公设备购置3次，7.39万元/次,支付</w:t>
      </w:r>
      <w:r>
        <w:rPr>
          <w:rFonts w:hint="eastAsia" w:ascii="仿宋" w:hAnsi="仿宋" w:eastAsia="仿宋" w:cs="仿宋"/>
          <w:sz w:val="32"/>
          <w:szCs w:val="32"/>
          <w:highlight w:val="none"/>
          <w:lang w:val="en-US" w:eastAsia="zh-CN"/>
        </w:rPr>
        <w:t>137.72万元</w:t>
      </w:r>
      <w:r>
        <w:rPr>
          <w:rFonts w:hint="eastAsia" w:ascii="仿宋" w:hAnsi="仿宋" w:eastAsia="仿宋" w:cs="仿宋"/>
          <w:sz w:val="32"/>
          <w:szCs w:val="32"/>
          <w:highlight w:val="none"/>
        </w:rPr>
        <w:t>，有效保障顺利开展教育教学活动</w:t>
      </w:r>
      <w:r>
        <w:rPr>
          <w:rFonts w:hint="eastAsia" w:ascii="仿宋" w:hAnsi="仿宋" w:eastAsia="仿宋" w:cs="仿宋"/>
          <w:sz w:val="32"/>
          <w:szCs w:val="32"/>
          <w:highlight w:val="none"/>
          <w:lang w:eastAsia="zh-CN"/>
        </w:rPr>
        <w:t>。</w:t>
      </w:r>
    </w:p>
    <w:p w14:paraId="0C613701">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资金投入和使用情况</w:t>
      </w:r>
    </w:p>
    <w:p w14:paraId="5B0332FE">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（1）资金投入情况</w:t>
      </w:r>
    </w:p>
    <w:p w14:paraId="38F6BFF1">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该项目年初预算数</w:t>
      </w:r>
      <w:r>
        <w:rPr>
          <w:rFonts w:hint="eastAsia" w:ascii="仿宋" w:hAnsi="仿宋" w:eastAsia="仿宋" w:cs="仿宋"/>
          <w:sz w:val="32"/>
          <w:szCs w:val="32"/>
          <w:lang w:val="en-US" w:eastAsia="zh-CN"/>
        </w:rPr>
        <w:t>158.95</w:t>
      </w:r>
      <w:r>
        <w:rPr>
          <w:rFonts w:hint="eastAsia" w:ascii="仿宋" w:hAnsi="仿宋" w:eastAsia="仿宋" w:cs="仿宋"/>
          <w:sz w:val="32"/>
          <w:szCs w:val="32"/>
        </w:rPr>
        <w:t>万元，全年预算数</w:t>
      </w:r>
      <w:r>
        <w:rPr>
          <w:rFonts w:hint="eastAsia" w:ascii="仿宋" w:hAnsi="仿宋" w:eastAsia="仿宋" w:cs="仿宋"/>
          <w:sz w:val="32"/>
          <w:szCs w:val="32"/>
          <w:lang w:val="en-US" w:eastAsia="zh-CN"/>
        </w:rPr>
        <w:t>158.95</w:t>
      </w:r>
      <w:r>
        <w:rPr>
          <w:rFonts w:hint="eastAsia" w:ascii="仿宋" w:hAnsi="仿宋" w:eastAsia="仿宋" w:cs="仿宋"/>
          <w:sz w:val="32"/>
          <w:szCs w:val="32"/>
        </w:rPr>
        <w:t>万元，</w:t>
      </w:r>
      <w:r>
        <w:rPr>
          <w:rFonts w:hint="eastAsia" w:ascii="仿宋" w:hAnsi="仿宋" w:eastAsia="仿宋" w:cs="仿宋"/>
          <w:sz w:val="32"/>
          <w:szCs w:val="32"/>
          <w:lang w:val="en-US" w:eastAsia="zh-CN"/>
        </w:rPr>
        <w:t>资金到位158.95</w:t>
      </w:r>
      <w:r>
        <w:rPr>
          <w:rFonts w:hint="eastAsia" w:ascii="仿宋" w:hAnsi="仿宋" w:eastAsia="仿宋" w:cs="仿宋"/>
          <w:sz w:val="32"/>
          <w:szCs w:val="32"/>
        </w:rPr>
        <w:t>万元，</w:t>
      </w:r>
      <w:r>
        <w:rPr>
          <w:rFonts w:hint="eastAsia" w:ascii="仿宋" w:hAnsi="仿宋" w:eastAsia="仿宋" w:cs="仿宋"/>
          <w:sz w:val="32"/>
          <w:szCs w:val="32"/>
          <w:lang w:val="en-US" w:eastAsia="zh-CN"/>
        </w:rPr>
        <w:t>资金到位率100%</w:t>
      </w:r>
      <w:r>
        <w:rPr>
          <w:rFonts w:hint="eastAsia" w:ascii="仿宋" w:hAnsi="仿宋" w:eastAsia="仿宋" w:cs="仿宋"/>
          <w:sz w:val="32"/>
          <w:szCs w:val="32"/>
        </w:rPr>
        <w:t>，资金来源为上级一般公共预算安排的转移支付和区县配套资金。</w:t>
      </w:r>
    </w:p>
    <w:p w14:paraId="12DCA325">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（2）资金使用情况</w:t>
      </w:r>
    </w:p>
    <w:p w14:paraId="0DB8635C">
      <w:pPr>
        <w:spacing w:line="560" w:lineRule="exact"/>
        <w:ind w:firstLine="640" w:firstLineChars="200"/>
        <w:rPr>
          <w:rFonts w:hint="eastAsia" w:ascii="Times New Roman" w:hAnsi="Times New Roman" w:eastAsia="方正仿宋_GB2312" w:cs="Times New Roman"/>
          <w:sz w:val="32"/>
          <w:szCs w:val="32"/>
        </w:rPr>
      </w:pPr>
      <w:r>
        <w:rPr>
          <w:rFonts w:hint="eastAsia" w:ascii="仿宋" w:hAnsi="仿宋" w:eastAsia="仿宋" w:cs="仿宋"/>
          <w:sz w:val="32"/>
          <w:szCs w:val="32"/>
        </w:rPr>
        <w:t>该项目年初预算数</w:t>
      </w:r>
      <w:r>
        <w:rPr>
          <w:rFonts w:hint="eastAsia" w:ascii="仿宋" w:hAnsi="仿宋" w:eastAsia="仿宋" w:cs="仿宋"/>
          <w:sz w:val="32"/>
          <w:szCs w:val="32"/>
          <w:lang w:val="en-US" w:eastAsia="zh-CN"/>
        </w:rPr>
        <w:t>158.95</w:t>
      </w:r>
      <w:r>
        <w:rPr>
          <w:rFonts w:hint="eastAsia" w:ascii="仿宋" w:hAnsi="仿宋" w:eastAsia="仿宋" w:cs="仿宋"/>
          <w:sz w:val="32"/>
          <w:szCs w:val="32"/>
        </w:rPr>
        <w:t>万元，全年预算数</w:t>
      </w:r>
      <w:r>
        <w:rPr>
          <w:rFonts w:hint="eastAsia" w:ascii="仿宋" w:hAnsi="仿宋" w:eastAsia="仿宋" w:cs="仿宋"/>
          <w:sz w:val="32"/>
          <w:szCs w:val="32"/>
          <w:lang w:val="en-US" w:eastAsia="zh-CN"/>
        </w:rPr>
        <w:t>158.95</w:t>
      </w:r>
      <w:r>
        <w:rPr>
          <w:rFonts w:hint="eastAsia" w:ascii="仿宋" w:hAnsi="仿宋" w:eastAsia="仿宋" w:cs="仿宋"/>
          <w:sz w:val="32"/>
          <w:szCs w:val="32"/>
        </w:rPr>
        <w:t>万元，全年执行数</w:t>
      </w:r>
      <w:r>
        <w:rPr>
          <w:rFonts w:hint="eastAsia" w:ascii="仿宋" w:hAnsi="仿宋" w:eastAsia="仿宋" w:cs="仿宋"/>
          <w:sz w:val="32"/>
          <w:szCs w:val="32"/>
          <w:lang w:val="en-US" w:eastAsia="zh-CN"/>
        </w:rPr>
        <w:t>137.72</w:t>
      </w:r>
      <w:r>
        <w:rPr>
          <w:rFonts w:hint="eastAsia" w:ascii="仿宋" w:hAnsi="仿宋" w:eastAsia="仿宋" w:cs="仿宋"/>
          <w:sz w:val="32"/>
          <w:szCs w:val="32"/>
        </w:rPr>
        <w:t>万元，预算执行率为</w:t>
      </w:r>
      <w:r>
        <w:rPr>
          <w:rFonts w:hint="eastAsia" w:ascii="仿宋" w:hAnsi="仿宋" w:eastAsia="仿宋" w:cs="仿宋"/>
          <w:sz w:val="32"/>
          <w:szCs w:val="32"/>
          <w:lang w:val="en-US" w:eastAsia="zh-CN"/>
        </w:rPr>
        <w:t>86.64</w:t>
      </w:r>
      <w:r>
        <w:rPr>
          <w:rFonts w:hint="eastAsia" w:ascii="仿宋" w:hAnsi="仿宋" w:eastAsia="仿宋" w:cs="仿宋"/>
          <w:sz w:val="32"/>
          <w:szCs w:val="32"/>
        </w:rPr>
        <w:t>%，主要用于：保障义务教育阶段学校正常运转、完成教育教学活动和其他日常工作任务等方面的支出，用于购买日常办公用品，支付水费、电费、电话费，房屋建筑物及日常零星维修维护，教师培训费，购买专用材料费用，仪器设备及图书资料等购置。</w:t>
      </w:r>
    </w:p>
    <w:p w14:paraId="318486B5">
      <w:pPr>
        <w:spacing w:line="560" w:lineRule="exact"/>
        <w:ind w:firstLine="643" w:firstLineChars="200"/>
        <w:rPr>
          <w:rFonts w:eastAsia="楷体_GB2312"/>
          <w:b/>
          <w:bCs/>
          <w:sz w:val="32"/>
          <w:szCs w:val="32"/>
        </w:rPr>
      </w:pPr>
      <w:r>
        <w:rPr>
          <w:rFonts w:eastAsia="楷体_GB2312"/>
          <w:b/>
          <w:bCs/>
          <w:sz w:val="32"/>
          <w:szCs w:val="32"/>
        </w:rPr>
        <w:t>（二）项目绩效目标</w:t>
      </w:r>
    </w:p>
    <w:p w14:paraId="24C03C08">
      <w:pPr>
        <w:spacing w:line="560" w:lineRule="exact"/>
        <w:ind w:firstLine="643" w:firstLineChars="200"/>
        <w:rPr>
          <w:rFonts w:eastAsia="仿宋_GB2312"/>
          <w:sz w:val="32"/>
          <w:szCs w:val="32"/>
        </w:rPr>
      </w:pPr>
      <w:r>
        <w:rPr>
          <w:rFonts w:hint="eastAsia" w:ascii="仿宋_GB2312" w:hAnsi="仿宋_GB2312" w:eastAsia="仿宋_GB2312" w:cs="仿宋_GB2312"/>
          <w:b/>
          <w:bCs/>
          <w:kern w:val="0"/>
          <w:sz w:val="32"/>
          <w:szCs w:val="32"/>
          <w:lang w:val="en-US" w:eastAsia="zh-CN" w:bidi="ar-SA"/>
        </w:rPr>
        <w:t>1.总体目标</w:t>
      </w:r>
    </w:p>
    <w:p w14:paraId="45F50BAB">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该经费的具体开支范围是：办公费、水电费、学校教学业务与管理、教师培训、文体活动、水电、取暖、交通差旅、仪器设备及图书资料等购置、房屋建筑物仪器设备的日常维修等相关开支。从而实现该项目的社会效益，提高学校教师的教学水平、改善办学条件，提高学生学习的主观能动性，优化课堂教学，增强师生互动性，打造积极的教学环境。</w:t>
      </w:r>
    </w:p>
    <w:p w14:paraId="45624BAD">
      <w:pPr>
        <w:spacing w:line="560" w:lineRule="exact"/>
        <w:ind w:firstLine="643" w:firstLineChars="200"/>
        <w:rPr>
          <w:rFonts w:ascii="仿宋_GB2312" w:hAnsi="仿宋_GB2312" w:eastAsia="仿宋_GB2312" w:cs="仿宋_GB2312"/>
          <w:b w:val="0"/>
          <w:bCs w:val="0"/>
          <w:color w:val="FF0000"/>
          <w:sz w:val="30"/>
          <w:szCs w:val="30"/>
        </w:rPr>
      </w:pPr>
      <w:r>
        <w:rPr>
          <w:rFonts w:hint="eastAsia" w:ascii="仿宋_GB2312" w:hAnsi="仿宋_GB2312" w:eastAsia="仿宋_GB2312" w:cs="仿宋_GB2312"/>
          <w:b/>
          <w:bCs/>
          <w:kern w:val="0"/>
          <w:sz w:val="32"/>
          <w:szCs w:val="32"/>
          <w:lang w:val="en-US" w:eastAsia="zh-CN" w:bidi="ar-SA"/>
        </w:rPr>
        <w:t>2.阶段性目标</w:t>
      </w:r>
    </w:p>
    <w:p w14:paraId="20CFF6EA">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该项目用于保障义务教育阶段学校正常运转、完成教育教学活动和其他日常工作任务等方面的支出，阶段性完成单位日常教育教学用品的购买，支付教师培训费用，支付屋建筑物维修及日常零星维修费用，包括智能黑板、卫生间、多功能厅、LED设备及食堂等仪器设备及房屋建筑物的日常维修维护等。</w:t>
      </w:r>
    </w:p>
    <w:p w14:paraId="0F0CC98F">
      <w:pPr>
        <w:spacing w:line="560" w:lineRule="exact"/>
        <w:ind w:firstLine="640" w:firstLineChars="200"/>
        <w:rPr>
          <w:rFonts w:eastAsia="黑体"/>
          <w:sz w:val="32"/>
          <w:szCs w:val="32"/>
        </w:rPr>
      </w:pPr>
      <w:r>
        <w:rPr>
          <w:rFonts w:eastAsia="黑体"/>
          <w:sz w:val="32"/>
          <w:szCs w:val="32"/>
        </w:rPr>
        <w:t>二、绩效评价工作开展情况</w:t>
      </w:r>
    </w:p>
    <w:p w14:paraId="116F2315">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14:paraId="47FB14CD">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绩效评价的目的</w:t>
      </w:r>
    </w:p>
    <w:p w14:paraId="7E8A6F2A">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62F71F9A">
      <w:pPr>
        <w:numPr>
          <w:ilvl w:val="0"/>
          <w:numId w:val="1"/>
        </w:num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项目在实施前向项目负责人提供财政支出绩效方面的资金管理信息，促进项目支出严格按照资金管理规定进行。</w:t>
      </w:r>
    </w:p>
    <w:p w14:paraId="2BEC8072">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（2）项目绩效管理财政支出运行提供及时、有效的信息。</w:t>
      </w:r>
    </w:p>
    <w:p w14:paraId="4B7EFF39">
      <w:pPr>
        <w:pStyle w:val="19"/>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15EB2D7A">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绩效评价的对象</w:t>
      </w:r>
    </w:p>
    <w:p w14:paraId="7A4A0E84">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公用经费项目所包含的全部项目内容。</w:t>
      </w:r>
    </w:p>
    <w:p w14:paraId="7EBC0FCC">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绩效评价的范围</w:t>
      </w:r>
    </w:p>
    <w:p w14:paraId="6C4297A3">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本次评价从项目决策（包括绩效目标、决策过程）、项目管理（包括项目资金、项目实施）、项目产出（包括项目产出数量、产出质量、产出时效和产出成本）项目效益四个维度对公用经费项目进行评价，评价核心为专项资金的支出完成情况和效果。</w:t>
      </w:r>
    </w:p>
    <w:p w14:paraId="7EF0BD1B">
      <w:pPr>
        <w:spacing w:line="560" w:lineRule="exact"/>
        <w:ind w:firstLine="643" w:firstLineChars="200"/>
      </w:pPr>
      <w:r>
        <w:rPr>
          <w:rFonts w:eastAsia="楷体_GB2312"/>
          <w:b/>
          <w:bCs/>
          <w:sz w:val="32"/>
          <w:szCs w:val="32"/>
        </w:rPr>
        <w:t>（二）绩效评价原则、评价指标体系（详情见</w:t>
      </w:r>
      <w:r>
        <w:rPr>
          <w:rFonts w:hint="eastAsia" w:eastAsia="楷体_GB2312"/>
          <w:b/>
          <w:bCs/>
          <w:sz w:val="32"/>
          <w:szCs w:val="32"/>
          <w:lang w:val="en-US" w:eastAsia="zh-CN"/>
        </w:rPr>
        <w:t>附件2</w:t>
      </w:r>
      <w:r>
        <w:rPr>
          <w:rFonts w:eastAsia="楷体_GB2312"/>
          <w:b/>
          <w:bCs/>
          <w:sz w:val="32"/>
          <w:szCs w:val="32"/>
        </w:rPr>
        <w:t>）、评价方法、评价标准</w:t>
      </w:r>
    </w:p>
    <w:p w14:paraId="4D9CA0FD">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绩效评价原则</w:t>
      </w:r>
    </w:p>
    <w:p w14:paraId="580D463F">
      <w:pPr>
        <w:spacing w:line="56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本次项目绩效评价遵循以下基本原则：</w:t>
      </w:r>
    </w:p>
    <w:p w14:paraId="73CF1270">
      <w:pPr>
        <w:pStyle w:val="2"/>
        <w:spacing w:before="0" w:after="0" w:line="560" w:lineRule="exact"/>
        <w:ind w:firstLine="640" w:firstLineChars="200"/>
        <w:jc w:val="both"/>
        <w:outlineLvl w:val="9"/>
        <w:rPr>
          <w:rFonts w:hint="eastAsia" w:ascii="仿宋" w:hAnsi="仿宋" w:eastAsia="仿宋" w:cs="仿宋"/>
          <w:b w:val="0"/>
          <w:bCs w:val="0"/>
        </w:rPr>
      </w:pPr>
      <w:r>
        <w:rPr>
          <w:rFonts w:hint="eastAsia" w:ascii="仿宋" w:hAnsi="仿宋" w:eastAsia="仿宋" w:cs="仿宋"/>
          <w:b w:val="0"/>
          <w:bCs w:val="0"/>
        </w:rPr>
        <w:t>（1）科学公正。绩效评价应当运用科学合理的方法，按照规范的程序，对项目绩效进行客观、公正的反映。</w:t>
      </w:r>
    </w:p>
    <w:p w14:paraId="7CF85EC5">
      <w:pPr>
        <w:pStyle w:val="2"/>
        <w:spacing w:before="0" w:after="0" w:line="560" w:lineRule="exact"/>
        <w:ind w:firstLine="640" w:firstLineChars="200"/>
        <w:jc w:val="both"/>
        <w:outlineLvl w:val="9"/>
        <w:rPr>
          <w:rFonts w:hint="eastAsia" w:ascii="仿宋" w:hAnsi="仿宋" w:eastAsia="仿宋" w:cs="仿宋"/>
          <w:b w:val="0"/>
          <w:bCs w:val="0"/>
        </w:rPr>
      </w:pPr>
      <w:r>
        <w:rPr>
          <w:rFonts w:hint="eastAsia" w:ascii="仿宋" w:hAnsi="仿宋" w:eastAsia="仿宋" w:cs="仿宋"/>
          <w:b w:val="0"/>
          <w:bCs w:val="0"/>
        </w:rPr>
        <w:t>（2）统筹兼顾。单位自评、部门评价和财政评价应职责明确，各有侧重，相互衔接。单位自评应由项目单位自主实施，即“谁支出、谁自评”。部门评价和财政评价应在单位自评的基础上开展。</w:t>
      </w:r>
    </w:p>
    <w:p w14:paraId="61F8F547">
      <w:pPr>
        <w:pStyle w:val="2"/>
        <w:spacing w:before="0" w:after="0" w:line="560" w:lineRule="exact"/>
        <w:ind w:firstLine="640" w:firstLineChars="200"/>
        <w:jc w:val="both"/>
        <w:outlineLvl w:val="9"/>
        <w:rPr>
          <w:rFonts w:hint="eastAsia" w:ascii="仿宋" w:hAnsi="仿宋" w:eastAsia="仿宋" w:cs="仿宋"/>
          <w:b w:val="0"/>
          <w:bCs w:val="0"/>
        </w:rPr>
      </w:pPr>
      <w:r>
        <w:rPr>
          <w:rFonts w:hint="eastAsia" w:ascii="仿宋" w:hAnsi="仿宋" w:eastAsia="仿宋" w:cs="仿宋"/>
          <w:b w:val="0"/>
          <w:bCs w:val="0"/>
        </w:rPr>
        <w:t>（3）激励约束。绩效评价结果应与预算安排、政策调整、改进管理实质性挂钩，体现奖优罚劣和激励相容导向，有效要安排、低效要压减、无效要问责。</w:t>
      </w:r>
    </w:p>
    <w:p w14:paraId="3AE3A8F7">
      <w:pPr>
        <w:pStyle w:val="2"/>
        <w:spacing w:before="0" w:after="0" w:line="560" w:lineRule="exact"/>
        <w:ind w:firstLine="640" w:firstLineChars="200"/>
        <w:jc w:val="both"/>
        <w:outlineLvl w:val="9"/>
        <w:rPr>
          <w:rFonts w:hint="eastAsia" w:ascii="仿宋" w:hAnsi="仿宋" w:eastAsia="仿宋" w:cs="仿宋"/>
          <w:b w:val="0"/>
          <w:bCs w:val="0"/>
        </w:rPr>
      </w:pPr>
      <w:r>
        <w:rPr>
          <w:rFonts w:hint="eastAsia" w:ascii="仿宋" w:hAnsi="仿宋" w:eastAsia="仿宋" w:cs="仿宋"/>
          <w:b w:val="0"/>
          <w:bCs w:val="0"/>
        </w:rPr>
        <w:t>（4）公开透明。绩效评价结果应依法依规公开，并自觉接受社会监督。</w:t>
      </w:r>
    </w:p>
    <w:p w14:paraId="68E0F702">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评价指标体系</w:t>
      </w:r>
    </w:p>
    <w:p w14:paraId="5A929ABF">
      <w:pPr>
        <w:spacing w:line="560" w:lineRule="exact"/>
        <w:ind w:firstLine="708" w:firstLineChars="200"/>
        <w:rPr>
          <w:rFonts w:hint="eastAsia" w:ascii="仿宋" w:hAnsi="仿宋" w:eastAsia="仿宋" w:cs="仿宋"/>
          <w:color w:val="000000"/>
          <w:spacing w:val="17"/>
          <w:sz w:val="32"/>
          <w:szCs w:val="32"/>
        </w:rPr>
      </w:pPr>
      <w:r>
        <w:rPr>
          <w:rFonts w:hint="eastAsia" w:ascii="仿宋" w:hAnsi="仿宋" w:eastAsia="仿宋" w:cs="仿宋"/>
          <w:color w:val="000000"/>
          <w:spacing w:val="17"/>
          <w:sz w:val="32"/>
          <w:szCs w:val="32"/>
        </w:rPr>
        <w:t>绩效评价框架是开展绩效评价的核心。绩效评价框架包括评价准则、关键评价问题、评价指标、数据来源、数据收集方法等。指标体系建立过程如下：</w:t>
      </w:r>
    </w:p>
    <w:p w14:paraId="3A8B7670">
      <w:pPr>
        <w:spacing w:line="560" w:lineRule="exact"/>
        <w:ind w:firstLine="708" w:firstLineChars="200"/>
        <w:rPr>
          <w:rFonts w:hint="eastAsia" w:ascii="仿宋" w:hAnsi="仿宋" w:eastAsia="仿宋" w:cs="仿宋"/>
          <w:color w:val="000000"/>
          <w:spacing w:val="17"/>
          <w:sz w:val="32"/>
          <w:szCs w:val="32"/>
        </w:rPr>
      </w:pPr>
      <w:r>
        <w:rPr>
          <w:rFonts w:hint="eastAsia" w:ascii="仿宋" w:hAnsi="仿宋" w:eastAsia="仿宋" w:cs="仿宋"/>
          <w:color w:val="000000"/>
          <w:spacing w:val="17"/>
          <w:sz w:val="32"/>
          <w:szCs w:val="32"/>
        </w:rPr>
        <w:t>（1）确定评价指标</w:t>
      </w:r>
    </w:p>
    <w:p w14:paraId="32E2329F">
      <w:pPr>
        <w:spacing w:line="560" w:lineRule="exact"/>
        <w:ind w:firstLine="708" w:firstLineChars="200"/>
        <w:rPr>
          <w:rFonts w:hint="eastAsia" w:ascii="仿宋" w:hAnsi="仿宋" w:eastAsia="仿宋" w:cs="仿宋"/>
          <w:color w:val="000000"/>
          <w:spacing w:val="17"/>
          <w:sz w:val="32"/>
          <w:szCs w:val="32"/>
        </w:rPr>
      </w:pPr>
      <w:r>
        <w:rPr>
          <w:rFonts w:hint="eastAsia" w:ascii="仿宋" w:hAnsi="仿宋" w:eastAsia="仿宋" w:cs="仿宋"/>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2F8BAC47">
      <w:pPr>
        <w:spacing w:line="560" w:lineRule="exact"/>
        <w:ind w:firstLine="708" w:firstLineChars="200"/>
        <w:rPr>
          <w:rFonts w:hint="eastAsia" w:ascii="仿宋" w:hAnsi="仿宋" w:eastAsia="仿宋" w:cs="仿宋"/>
          <w:color w:val="000000"/>
          <w:spacing w:val="17"/>
          <w:sz w:val="32"/>
          <w:szCs w:val="32"/>
        </w:rPr>
      </w:pPr>
      <w:r>
        <w:rPr>
          <w:rFonts w:hint="eastAsia" w:ascii="仿宋" w:hAnsi="仿宋" w:eastAsia="仿宋" w:cs="仿宋"/>
          <w:color w:val="000000"/>
          <w:spacing w:val="17"/>
          <w:sz w:val="32"/>
          <w:szCs w:val="32"/>
        </w:rPr>
        <w:t>（2）确定权重</w:t>
      </w:r>
    </w:p>
    <w:p w14:paraId="1CC1C85E">
      <w:pPr>
        <w:spacing w:line="560" w:lineRule="exact"/>
        <w:ind w:firstLine="708" w:firstLineChars="200"/>
        <w:rPr>
          <w:rFonts w:hint="eastAsia" w:ascii="仿宋" w:hAnsi="仿宋" w:eastAsia="仿宋" w:cs="仿宋"/>
          <w:color w:val="000000"/>
          <w:spacing w:val="17"/>
          <w:sz w:val="32"/>
          <w:szCs w:val="32"/>
        </w:rPr>
      </w:pPr>
      <w:r>
        <w:rPr>
          <w:rFonts w:hint="eastAsia" w:ascii="仿宋" w:hAnsi="仿宋" w:eastAsia="仿宋" w:cs="仿宋"/>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2044E65E">
      <w:pPr>
        <w:spacing w:line="560" w:lineRule="exact"/>
        <w:ind w:firstLine="708" w:firstLineChars="200"/>
        <w:rPr>
          <w:rFonts w:hint="eastAsia" w:ascii="仿宋" w:hAnsi="仿宋" w:eastAsia="仿宋" w:cs="仿宋"/>
          <w:color w:val="000000"/>
          <w:spacing w:val="17"/>
          <w:sz w:val="32"/>
          <w:szCs w:val="32"/>
        </w:rPr>
      </w:pPr>
      <w:r>
        <w:rPr>
          <w:rFonts w:hint="eastAsia" w:ascii="仿宋" w:hAnsi="仿宋" w:eastAsia="仿宋" w:cs="仿宋"/>
          <w:color w:val="000000"/>
          <w:spacing w:val="17"/>
          <w:sz w:val="32"/>
          <w:szCs w:val="32"/>
        </w:rPr>
        <w:t>（3）确定指标标准值</w:t>
      </w:r>
    </w:p>
    <w:p w14:paraId="57421EFD">
      <w:pPr>
        <w:spacing w:line="560" w:lineRule="exact"/>
        <w:ind w:firstLine="708" w:firstLineChars="200"/>
        <w:rPr>
          <w:rFonts w:hint="eastAsia" w:ascii="仿宋" w:hAnsi="仿宋" w:eastAsia="仿宋" w:cs="仿宋"/>
          <w:color w:val="000000"/>
          <w:spacing w:val="17"/>
          <w:sz w:val="32"/>
          <w:szCs w:val="32"/>
        </w:rPr>
      </w:pPr>
      <w:r>
        <w:rPr>
          <w:rFonts w:hint="eastAsia" w:ascii="仿宋" w:hAnsi="仿宋" w:eastAsia="仿宋" w:cs="仿宋"/>
          <w:color w:val="000000"/>
          <w:spacing w:val="17"/>
          <w:sz w:val="32"/>
          <w:szCs w:val="32"/>
        </w:rPr>
        <w:t>指标标准值是绩效评价指标的尺度，既要反映同类项目的先进水平，又要符合项目的实际绩效水平。具体采用计划标准等确定此次绩效评价指标标准值。</w:t>
      </w:r>
    </w:p>
    <w:p w14:paraId="7440AD94">
      <w:pPr>
        <w:pStyle w:val="2"/>
        <w:spacing w:before="0" w:after="0" w:line="560" w:lineRule="exact"/>
        <w:ind w:firstLine="708" w:firstLineChars="200"/>
        <w:jc w:val="both"/>
        <w:rPr>
          <w:rFonts w:hint="eastAsia" w:ascii="仿宋" w:hAnsi="仿宋" w:eastAsia="仿宋" w:cs="仿宋"/>
          <w:b w:val="0"/>
          <w:bCs w:val="0"/>
          <w:color w:val="000000"/>
          <w:spacing w:val="17"/>
          <w:kern w:val="2"/>
        </w:rPr>
      </w:pPr>
      <w:r>
        <w:rPr>
          <w:rFonts w:hint="eastAsia" w:ascii="仿宋" w:hAnsi="仿宋" w:eastAsia="仿宋" w:cs="仿宋"/>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1CDA63F5">
      <w:pPr>
        <w:pStyle w:val="2"/>
        <w:widowControl w:val="0"/>
        <w:spacing w:before="0" w:after="0" w:line="560" w:lineRule="exact"/>
        <w:ind w:firstLine="708" w:firstLineChars="200"/>
        <w:jc w:val="both"/>
        <w:outlineLvl w:val="9"/>
        <w:rPr>
          <w:rFonts w:hint="eastAsia" w:ascii="仿宋" w:hAnsi="仿宋" w:eastAsia="仿宋" w:cs="仿宋"/>
          <w:b w:val="0"/>
          <w:bCs w:val="0"/>
          <w:color w:val="000000"/>
          <w:spacing w:val="17"/>
          <w:lang w:val="en-US" w:eastAsia="zh-CN"/>
        </w:rPr>
      </w:pPr>
      <w:r>
        <w:rPr>
          <w:rFonts w:hint="eastAsia" w:ascii="仿宋" w:hAnsi="仿宋" w:eastAsia="仿宋" w:cs="仿宋"/>
          <w:b w:val="0"/>
          <w:bCs w:val="0"/>
          <w:color w:val="000000"/>
          <w:spacing w:val="17"/>
        </w:rPr>
        <w:t>具体评价指标体系详情见附件</w:t>
      </w:r>
      <w:r>
        <w:rPr>
          <w:rFonts w:hint="eastAsia" w:ascii="仿宋" w:hAnsi="仿宋" w:eastAsia="仿宋" w:cs="仿宋"/>
          <w:b w:val="0"/>
          <w:bCs w:val="0"/>
          <w:color w:val="000000"/>
          <w:spacing w:val="17"/>
          <w:lang w:val="en-US" w:eastAsia="zh-CN"/>
        </w:rPr>
        <w:t>2。</w:t>
      </w:r>
    </w:p>
    <w:p w14:paraId="51D1583E">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绩效评价方法</w:t>
      </w:r>
    </w:p>
    <w:p w14:paraId="71A6550D">
      <w:pPr>
        <w:spacing w:line="560" w:lineRule="exact"/>
        <w:ind w:firstLine="708" w:firstLineChars="200"/>
        <w:rPr>
          <w:rFonts w:hint="eastAsia" w:ascii="仿宋" w:hAnsi="仿宋" w:eastAsia="仿宋" w:cs="仿宋"/>
          <w:color w:val="000000"/>
          <w:spacing w:val="17"/>
          <w:sz w:val="32"/>
          <w:szCs w:val="32"/>
        </w:rPr>
      </w:pPr>
      <w:r>
        <w:rPr>
          <w:rFonts w:hint="eastAsia" w:ascii="仿宋" w:hAnsi="仿宋" w:eastAsia="仿宋" w:cs="仿宋"/>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7857A4E5">
      <w:pPr>
        <w:spacing w:line="560" w:lineRule="exact"/>
        <w:ind w:firstLine="708" w:firstLineChars="200"/>
        <w:rPr>
          <w:rFonts w:hint="eastAsia" w:ascii="仿宋" w:hAnsi="仿宋" w:eastAsia="仿宋" w:cs="仿宋"/>
          <w:color w:val="000000"/>
          <w:spacing w:val="17"/>
          <w:sz w:val="32"/>
          <w:szCs w:val="32"/>
        </w:rPr>
      </w:pPr>
      <w:r>
        <w:rPr>
          <w:rFonts w:hint="eastAsia" w:ascii="仿宋" w:hAnsi="仿宋" w:eastAsia="仿宋" w:cs="仿宋"/>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34BC8D79">
      <w:pPr>
        <w:spacing w:line="560" w:lineRule="exact"/>
        <w:ind w:firstLine="708" w:firstLineChars="200"/>
        <w:rPr>
          <w:rFonts w:hint="eastAsia" w:ascii="仿宋" w:hAnsi="仿宋" w:eastAsia="仿宋" w:cs="仿宋"/>
          <w:color w:val="000000"/>
          <w:spacing w:val="17"/>
          <w:sz w:val="32"/>
          <w:szCs w:val="32"/>
        </w:rPr>
      </w:pPr>
      <w:r>
        <w:rPr>
          <w:rFonts w:hint="eastAsia" w:ascii="仿宋" w:hAnsi="仿宋" w:eastAsia="仿宋" w:cs="仿宋"/>
          <w:color w:val="000000"/>
          <w:spacing w:val="17"/>
          <w:sz w:val="32"/>
          <w:szCs w:val="32"/>
        </w:rPr>
        <w:t>（1）比较法</w:t>
      </w:r>
    </w:p>
    <w:p w14:paraId="35F15DCF">
      <w:pPr>
        <w:spacing w:line="560" w:lineRule="exact"/>
        <w:ind w:firstLine="708" w:firstLineChars="200"/>
        <w:rPr>
          <w:rFonts w:hint="eastAsia" w:ascii="仿宋" w:hAnsi="仿宋" w:eastAsia="仿宋" w:cs="仿宋"/>
          <w:color w:val="000000"/>
          <w:spacing w:val="17"/>
          <w:sz w:val="32"/>
          <w:szCs w:val="32"/>
        </w:rPr>
      </w:pPr>
      <w:r>
        <w:rPr>
          <w:rFonts w:hint="eastAsia" w:ascii="仿宋" w:hAnsi="仿宋" w:eastAsia="仿宋" w:cs="仿宋"/>
          <w:color w:val="000000"/>
          <w:spacing w:val="17"/>
          <w:sz w:val="32"/>
          <w:szCs w:val="32"/>
        </w:rPr>
        <w:t>通过对绩效目标与实施效果、历史与当期情况，综合分析绩效目标实现程度。对</w:t>
      </w:r>
      <w:r>
        <w:rPr>
          <w:rFonts w:hint="eastAsia" w:ascii="仿宋" w:hAnsi="仿宋" w:eastAsia="仿宋" w:cs="仿宋"/>
          <w:sz w:val="32"/>
          <w:szCs w:val="32"/>
        </w:rPr>
        <w:t>项目</w:t>
      </w:r>
      <w:r>
        <w:rPr>
          <w:rFonts w:hint="eastAsia" w:ascii="仿宋" w:hAnsi="仿宋" w:eastAsia="仿宋" w:cs="仿宋"/>
          <w:color w:val="000000"/>
          <w:spacing w:val="17"/>
          <w:sz w:val="32"/>
          <w:szCs w:val="32"/>
        </w:rPr>
        <w:t>最终验收情况与年度绩效目标对比、预算资金执行情况等相关因素进行比较。</w:t>
      </w:r>
    </w:p>
    <w:p w14:paraId="0E886300">
      <w:pPr>
        <w:spacing w:line="560" w:lineRule="exact"/>
        <w:ind w:firstLine="708" w:firstLineChars="200"/>
        <w:rPr>
          <w:rFonts w:hint="eastAsia" w:ascii="仿宋" w:hAnsi="仿宋" w:eastAsia="仿宋" w:cs="仿宋"/>
          <w:color w:val="000000"/>
          <w:spacing w:val="17"/>
          <w:sz w:val="32"/>
          <w:szCs w:val="32"/>
        </w:rPr>
      </w:pPr>
      <w:r>
        <w:rPr>
          <w:rFonts w:hint="eastAsia" w:ascii="仿宋" w:hAnsi="仿宋" w:eastAsia="仿宋" w:cs="仿宋"/>
          <w:color w:val="000000"/>
          <w:spacing w:val="17"/>
          <w:sz w:val="32"/>
          <w:szCs w:val="32"/>
        </w:rPr>
        <w:t>（2）因素分析法</w:t>
      </w:r>
    </w:p>
    <w:p w14:paraId="630329C0">
      <w:pPr>
        <w:spacing w:line="560" w:lineRule="exact"/>
        <w:ind w:firstLine="708" w:firstLineChars="200"/>
        <w:rPr>
          <w:rFonts w:hint="eastAsia" w:ascii="仿宋" w:hAnsi="仿宋" w:eastAsia="仿宋" w:cs="仿宋"/>
          <w:color w:val="000000"/>
          <w:spacing w:val="17"/>
          <w:sz w:val="32"/>
          <w:szCs w:val="32"/>
        </w:rPr>
      </w:pPr>
      <w:r>
        <w:rPr>
          <w:rFonts w:hint="eastAsia" w:ascii="仿宋" w:hAnsi="仿宋" w:eastAsia="仿宋" w:cs="仿宋"/>
          <w:color w:val="000000"/>
          <w:spacing w:val="17"/>
          <w:sz w:val="32"/>
          <w:szCs w:val="32"/>
        </w:rPr>
        <w:t>通过综合分析影响绩效目标实现、实施效果的内外因素，评价绩效目标实现程度。通过对</w:t>
      </w:r>
      <w:r>
        <w:rPr>
          <w:rFonts w:hint="eastAsia" w:ascii="仿宋" w:hAnsi="仿宋" w:eastAsia="仿宋" w:cs="仿宋"/>
          <w:sz w:val="32"/>
          <w:szCs w:val="32"/>
        </w:rPr>
        <w:t>项目</w:t>
      </w:r>
      <w:r>
        <w:rPr>
          <w:rFonts w:hint="eastAsia" w:ascii="仿宋" w:hAnsi="仿宋" w:eastAsia="仿宋" w:cs="仿宋"/>
          <w:color w:val="000000"/>
          <w:spacing w:val="17"/>
          <w:sz w:val="32"/>
          <w:szCs w:val="32"/>
        </w:rPr>
        <w:t>的开展情况、项目产出数量、成本控制、资金拨付文件及自评报告等相关资料的收集和审核，综合分析各因素对绩效目标实现的影响。</w:t>
      </w:r>
    </w:p>
    <w:p w14:paraId="4C353807">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评价标准</w:t>
      </w:r>
    </w:p>
    <w:p w14:paraId="62DA5517">
      <w:pPr>
        <w:spacing w:line="560" w:lineRule="exact"/>
        <w:ind w:firstLine="640"/>
        <w:rPr>
          <w:rFonts w:hint="eastAsia" w:ascii="方正仿宋_GBK" w:hAnsi="方正仿宋_GBK" w:eastAsia="方正仿宋_GBK" w:cs="方正仿宋_GBK"/>
          <w:color w:val="FF0000"/>
          <w:sz w:val="32"/>
          <w:szCs w:val="32"/>
        </w:rPr>
      </w:pPr>
      <w:bookmarkStart w:id="0" w:name="_Toc17882"/>
      <w:bookmarkStart w:id="1" w:name="_Toc31464"/>
      <w:r>
        <w:rPr>
          <w:rFonts w:hint="eastAsia" w:ascii="方正仿宋_GBK" w:hAnsi="方正仿宋_GBK" w:eastAsia="方正仿宋_GBK" w:cs="方正仿宋_GBK"/>
          <w:sz w:val="32"/>
          <w:szCs w:val="32"/>
        </w:rPr>
        <w:t>绩效评价标准通常包括计划标准、行业标准、历史标准等，用于对绩效指标完成情况进行比较、分析、评价。本次评价主要采用了计划标准。</w:t>
      </w:r>
    </w:p>
    <w:p w14:paraId="65FD72CC">
      <w:pPr>
        <w:spacing w:line="560" w:lineRule="exact"/>
        <w:ind w:firstLine="640"/>
        <w:rPr>
          <w:rFonts w:eastAsia="方正仿宋_GBK" w:cs="方正仿宋_GBK"/>
          <w:sz w:val="32"/>
          <w:szCs w:val="32"/>
        </w:rPr>
      </w:pPr>
      <w:r>
        <w:rPr>
          <w:rFonts w:hint="eastAsia" w:eastAsia="方正仿宋_GBK" w:cs="方正仿宋_GBK"/>
          <w:b/>
          <w:bCs/>
          <w:sz w:val="32"/>
          <w:szCs w:val="32"/>
        </w:rPr>
        <w:t>计划标准：</w:t>
      </w:r>
      <w:r>
        <w:rPr>
          <w:rFonts w:hint="eastAsia" w:eastAsia="方正仿宋_GBK" w:cs="方正仿宋_GBK"/>
          <w:sz w:val="32"/>
          <w:szCs w:val="32"/>
        </w:rPr>
        <w:t>指以预先制定的目标、计划、预算、定额等作为评价标准。</w:t>
      </w:r>
      <w:bookmarkEnd w:id="0"/>
      <w:bookmarkEnd w:id="1"/>
    </w:p>
    <w:p w14:paraId="6AB38E30">
      <w:pPr>
        <w:pStyle w:val="2"/>
        <w:numPr>
          <w:ilvl w:val="0"/>
          <w:numId w:val="2"/>
        </w:numPr>
        <w:spacing w:before="0" w:after="0" w:line="56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14:paraId="5326A52A">
      <w:pPr>
        <w:spacing w:line="560" w:lineRule="exact"/>
        <w:ind w:firstLine="643" w:firstLineChars="200"/>
        <w:rPr>
          <w:rFonts w:hint="eastAsia" w:ascii="方正仿宋_GBK" w:hAnsi="方正仿宋_GBK" w:eastAsia="方正仿宋_GBK" w:cs="方正仿宋_GBK"/>
          <w:bCs/>
          <w:sz w:val="32"/>
          <w:szCs w:val="32"/>
        </w:rPr>
      </w:pPr>
      <w:r>
        <w:rPr>
          <w:rFonts w:hint="eastAsia" w:ascii="仿宋_GB2312" w:hAnsi="仿宋_GB2312" w:eastAsia="仿宋_GB2312" w:cs="仿宋_GB2312"/>
          <w:b/>
          <w:bCs/>
          <w:sz w:val="32"/>
          <w:szCs w:val="32"/>
        </w:rPr>
        <w:t>1.前期准备。</w:t>
      </w:r>
      <w:r>
        <w:rPr>
          <w:rFonts w:hint="eastAsia" w:ascii="方正仿宋_GBK" w:hAnsi="方正仿宋_GBK" w:eastAsia="方正仿宋_GBK" w:cs="方正仿宋_GBK"/>
          <w:bCs/>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14:paraId="42BBE5C1">
      <w:pPr>
        <w:spacing w:line="560" w:lineRule="exact"/>
        <w:ind w:firstLine="643" w:firstLineChars="200"/>
        <w:rPr>
          <w:rFonts w:eastAsia="仿宋_GB2312"/>
          <w:bCs/>
          <w:sz w:val="32"/>
          <w:szCs w:val="32"/>
        </w:rPr>
      </w:pPr>
      <w:r>
        <w:rPr>
          <w:rFonts w:hint="eastAsia" w:ascii="仿宋_GB2312" w:hAnsi="仿宋_GB2312" w:eastAsia="仿宋_GB2312" w:cs="仿宋_GB2312"/>
          <w:b/>
          <w:bCs/>
          <w:sz w:val="32"/>
          <w:szCs w:val="32"/>
        </w:rPr>
        <w:t>2.组织实施。</w:t>
      </w:r>
      <w:r>
        <w:rPr>
          <w:rFonts w:hint="eastAsia" w:ascii="方正仿宋_GBK" w:hAnsi="方正仿宋_GBK" w:eastAsia="方正仿宋_GBK" w:cs="方正仿宋_GBK"/>
          <w:bCs/>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14:paraId="3A34EBE5">
      <w:pPr>
        <w:spacing w:line="560" w:lineRule="exact"/>
        <w:ind w:firstLine="643" w:firstLineChars="200"/>
        <w:rPr>
          <w:sz w:val="32"/>
          <w:szCs w:val="32"/>
        </w:rPr>
      </w:pPr>
      <w:r>
        <w:rPr>
          <w:rFonts w:hint="eastAsia" w:ascii="仿宋_GB2312" w:hAnsi="仿宋_GB2312" w:eastAsia="仿宋_GB2312" w:cs="仿宋_GB2312"/>
          <w:b/>
          <w:bCs/>
          <w:sz w:val="32"/>
          <w:szCs w:val="32"/>
        </w:rPr>
        <w:t>3.分析评价。</w:t>
      </w:r>
      <w:r>
        <w:rPr>
          <w:rFonts w:hint="eastAsia" w:ascii="方正仿宋_GBK" w:hAnsi="方正仿宋_GBK" w:eastAsia="方正仿宋_GBK" w:cs="方正仿宋_GBK"/>
          <w:bCs/>
          <w:sz w:val="32"/>
          <w:szCs w:val="32"/>
        </w:rPr>
        <w:t>根据收集梳理的资料围绕项目立项、资金落实、业务管理、财务管理、项目产出、项目效益等内容，对照已确定的绩效评价指标进行详细全面的分析评价，逐项打分并形成绩效评价最终结果。</w:t>
      </w:r>
    </w:p>
    <w:p w14:paraId="4ABF82D5">
      <w:pPr>
        <w:numPr>
          <w:ilvl w:val="0"/>
          <w:numId w:val="3"/>
        </w:numPr>
        <w:spacing w:line="560" w:lineRule="exact"/>
        <w:ind w:firstLine="640" w:firstLineChars="200"/>
        <w:rPr>
          <w:rFonts w:eastAsia="黑体"/>
          <w:sz w:val="32"/>
          <w:szCs w:val="32"/>
        </w:rPr>
      </w:pPr>
      <w:r>
        <w:rPr>
          <w:rFonts w:eastAsia="黑体"/>
          <w:sz w:val="32"/>
          <w:szCs w:val="32"/>
        </w:rPr>
        <w:t>综合评价情况及评价结论（附相关评分表）</w:t>
      </w:r>
    </w:p>
    <w:p w14:paraId="04A6A5F7">
      <w:pPr>
        <w:pStyle w:val="2"/>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（一）评价情况</w:t>
      </w:r>
    </w:p>
    <w:p w14:paraId="1428F3A4">
      <w:pPr>
        <w:spacing w:line="600" w:lineRule="exact"/>
        <w:ind w:firstLine="640" w:firstLineChars="200"/>
        <w:outlineLvl w:val="0"/>
        <w:rPr>
          <w:rFonts w:hint="eastAsia" w:ascii="方正仿宋_GBK" w:hAnsi="方正仿宋_GBK" w:eastAsia="方正仿宋_GBK" w:cs="方正仿宋_GBK"/>
          <w:kern w:val="28"/>
          <w:sz w:val="32"/>
          <w:szCs w:val="32"/>
        </w:rPr>
      </w:pPr>
      <w:r>
        <w:rPr>
          <w:rFonts w:hint="eastAsia" w:ascii="方正仿宋_GBK" w:hAnsi="方正仿宋_GBK" w:eastAsia="方正仿宋_GBK" w:cs="方正仿宋_GBK"/>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223B19DF">
      <w:pPr>
        <w:pStyle w:val="2"/>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（二）评价结论</w:t>
      </w:r>
    </w:p>
    <w:p w14:paraId="3FA52CA2">
      <w:pPr>
        <w:pStyle w:val="2"/>
        <w:widowControl w:val="0"/>
        <w:spacing w:before="0" w:after="0" w:line="560" w:lineRule="exact"/>
        <w:ind w:firstLine="640" w:firstLineChars="200"/>
        <w:jc w:val="both"/>
        <w:outlineLvl w:val="9"/>
        <w:rPr>
          <w:rFonts w:hint="eastAsia" w:ascii="方正仿宋_GBK" w:hAnsi="方正仿宋_GBK" w:eastAsia="方正仿宋_GBK" w:cs="方正仿宋_GBK"/>
          <w:b w:val="0"/>
          <w:bCs w:val="0"/>
        </w:rPr>
      </w:pPr>
      <w:r>
        <w:rPr>
          <w:rFonts w:hint="eastAsia" w:ascii="方正仿宋_GBK" w:hAnsi="方正仿宋_GBK" w:eastAsia="方正仿宋_GBK" w:cs="方正仿宋_GBK"/>
          <w:b w:val="0"/>
          <w:bCs w:val="0"/>
        </w:rPr>
        <w:t>运用绩效评价组制定的评价指标体系以及财政部《项目支出绩效评价管理办法》（财预〔2020〕10号）文件的评分标准，通过数据采集、问卷调查及访谈等方式，对本项目进行客观评价，最终评分结</w:t>
      </w:r>
      <w:r>
        <w:rPr>
          <w:rFonts w:hint="eastAsia" w:ascii="方正仿宋_GBK" w:hAnsi="方正仿宋_GBK" w:eastAsia="方正仿宋_GBK" w:cs="方正仿宋_GBK"/>
          <w:b w:val="0"/>
          <w:bCs w:val="0"/>
          <w:highlight w:val="none"/>
        </w:rPr>
        <w:t>果：总得分为</w:t>
      </w:r>
      <w:r>
        <w:rPr>
          <w:rFonts w:hint="eastAsia" w:ascii="方正仿宋_GBK" w:hAnsi="方正仿宋_GBK" w:eastAsia="方正仿宋_GBK" w:cs="方正仿宋_GBK"/>
          <w:b w:val="0"/>
          <w:bCs w:val="0"/>
          <w:highlight w:val="none"/>
          <w:lang w:val="en-US" w:eastAsia="zh-CN"/>
        </w:rPr>
        <w:t>93.67</w:t>
      </w:r>
      <w:r>
        <w:rPr>
          <w:rFonts w:hint="eastAsia" w:ascii="方正仿宋_GBK" w:hAnsi="方正仿宋_GBK" w:eastAsia="方正仿宋_GBK" w:cs="方正仿宋_GBK"/>
          <w:b w:val="0"/>
          <w:bCs w:val="0"/>
          <w:highlight w:val="none"/>
        </w:rPr>
        <w:t>分，属于“优”。其中，项目决策类指标权重为20分，得分为</w:t>
      </w:r>
      <w:r>
        <w:rPr>
          <w:rFonts w:hint="eastAsia" w:ascii="方正仿宋_GBK" w:hAnsi="方正仿宋_GBK" w:eastAsia="方正仿宋_GBK" w:cs="方正仿宋_GBK"/>
          <w:b w:val="0"/>
          <w:bCs w:val="0"/>
          <w:highlight w:val="none"/>
          <w:lang w:val="en-US" w:eastAsia="zh-CN"/>
        </w:rPr>
        <w:t>20</w:t>
      </w:r>
      <w:r>
        <w:rPr>
          <w:rFonts w:hint="eastAsia" w:ascii="方正仿宋_GBK" w:hAnsi="方正仿宋_GBK" w:eastAsia="方正仿宋_GBK" w:cs="方正仿宋_GBK"/>
          <w:b w:val="0"/>
          <w:bCs w:val="0"/>
          <w:highlight w:val="none"/>
        </w:rPr>
        <w:t>分，得分率为</w:t>
      </w:r>
      <w:r>
        <w:rPr>
          <w:rFonts w:hint="eastAsia" w:ascii="方正仿宋_GBK" w:hAnsi="方正仿宋_GBK" w:eastAsia="方正仿宋_GBK" w:cs="方正仿宋_GBK"/>
          <w:b w:val="0"/>
          <w:bCs w:val="0"/>
          <w:highlight w:val="none"/>
          <w:lang w:val="en-US" w:eastAsia="zh-CN"/>
        </w:rPr>
        <w:t>100</w:t>
      </w:r>
      <w:r>
        <w:rPr>
          <w:rFonts w:hint="eastAsia" w:ascii="方正仿宋_GBK" w:hAnsi="方正仿宋_GBK" w:eastAsia="方正仿宋_GBK" w:cs="方正仿宋_GBK"/>
          <w:b w:val="0"/>
          <w:bCs w:val="0"/>
          <w:highlight w:val="none"/>
        </w:rPr>
        <w:t>%。项目过程类指标权重为</w:t>
      </w:r>
      <w:r>
        <w:rPr>
          <w:rFonts w:hint="eastAsia" w:ascii="方正仿宋_GBK" w:hAnsi="方正仿宋_GBK" w:eastAsia="方正仿宋_GBK" w:cs="方正仿宋_GBK"/>
          <w:b w:val="0"/>
          <w:bCs w:val="0"/>
          <w:highlight w:val="none"/>
          <w:lang w:val="en-US" w:eastAsia="zh-CN"/>
        </w:rPr>
        <w:t>20</w:t>
      </w:r>
      <w:r>
        <w:rPr>
          <w:rFonts w:hint="eastAsia" w:ascii="方正仿宋_GBK" w:hAnsi="方正仿宋_GBK" w:eastAsia="方正仿宋_GBK" w:cs="方正仿宋_GBK"/>
          <w:b w:val="0"/>
          <w:bCs w:val="0"/>
          <w:highlight w:val="none"/>
        </w:rPr>
        <w:t>分，得分为</w:t>
      </w:r>
      <w:r>
        <w:rPr>
          <w:rFonts w:hint="eastAsia" w:ascii="方正仿宋_GBK" w:hAnsi="方正仿宋_GBK" w:eastAsia="方正仿宋_GBK" w:cs="方正仿宋_GBK"/>
          <w:b w:val="0"/>
          <w:bCs w:val="0"/>
          <w:highlight w:val="none"/>
          <w:lang w:val="en-US" w:eastAsia="zh-CN"/>
        </w:rPr>
        <w:t>19.47</w:t>
      </w:r>
      <w:r>
        <w:rPr>
          <w:rFonts w:hint="eastAsia" w:ascii="方正仿宋_GBK" w:hAnsi="方正仿宋_GBK" w:eastAsia="方正仿宋_GBK" w:cs="方正仿宋_GBK"/>
          <w:b w:val="0"/>
          <w:bCs w:val="0"/>
          <w:highlight w:val="none"/>
        </w:rPr>
        <w:t>分，得分率为</w:t>
      </w:r>
      <w:r>
        <w:rPr>
          <w:rFonts w:hint="eastAsia" w:ascii="方正仿宋_GBK" w:hAnsi="方正仿宋_GBK" w:eastAsia="方正仿宋_GBK" w:cs="方正仿宋_GBK"/>
          <w:b w:val="0"/>
          <w:bCs w:val="0"/>
          <w:highlight w:val="none"/>
          <w:lang w:val="en-US" w:eastAsia="zh-CN"/>
        </w:rPr>
        <w:t>97.35</w:t>
      </w:r>
      <w:r>
        <w:rPr>
          <w:rFonts w:hint="eastAsia" w:ascii="方正仿宋_GBK" w:hAnsi="方正仿宋_GBK" w:eastAsia="方正仿宋_GBK" w:cs="方正仿宋_GBK"/>
          <w:b w:val="0"/>
          <w:bCs w:val="0"/>
          <w:highlight w:val="none"/>
        </w:rPr>
        <w:t>%。项目产出类指标权重为40分，得分为</w:t>
      </w:r>
      <w:r>
        <w:rPr>
          <w:rFonts w:hint="eastAsia" w:ascii="方正仿宋_GBK" w:hAnsi="方正仿宋_GBK" w:eastAsia="方正仿宋_GBK" w:cs="方正仿宋_GBK"/>
          <w:b w:val="0"/>
          <w:bCs w:val="0"/>
          <w:highlight w:val="none"/>
          <w:lang w:val="en-US" w:eastAsia="zh-CN"/>
        </w:rPr>
        <w:t>34.2</w:t>
      </w:r>
      <w:r>
        <w:rPr>
          <w:rFonts w:hint="eastAsia" w:ascii="方正仿宋_GBK" w:hAnsi="方正仿宋_GBK" w:eastAsia="方正仿宋_GBK" w:cs="方正仿宋_GBK"/>
          <w:b w:val="0"/>
          <w:bCs w:val="0"/>
          <w:highlight w:val="none"/>
        </w:rPr>
        <w:t>分，得分率为</w:t>
      </w:r>
      <w:r>
        <w:rPr>
          <w:rFonts w:hint="eastAsia" w:ascii="方正仿宋_GBK" w:hAnsi="方正仿宋_GBK" w:eastAsia="方正仿宋_GBK" w:cs="方正仿宋_GBK"/>
          <w:b w:val="0"/>
          <w:bCs w:val="0"/>
          <w:highlight w:val="none"/>
          <w:lang w:val="en-US" w:eastAsia="zh-CN"/>
        </w:rPr>
        <w:t>85.5</w:t>
      </w:r>
      <w:r>
        <w:rPr>
          <w:rFonts w:hint="eastAsia" w:ascii="方正仿宋_GBK" w:hAnsi="方正仿宋_GBK" w:eastAsia="方正仿宋_GBK" w:cs="方正仿宋_GBK"/>
          <w:b w:val="0"/>
          <w:bCs w:val="0"/>
          <w:highlight w:val="none"/>
        </w:rPr>
        <w:t>%。项目效益类指标权重为20分，得分为</w:t>
      </w:r>
      <w:r>
        <w:rPr>
          <w:rFonts w:hint="eastAsia" w:ascii="方正仿宋_GBK" w:hAnsi="方正仿宋_GBK" w:eastAsia="方正仿宋_GBK" w:cs="方正仿宋_GBK"/>
          <w:b w:val="0"/>
          <w:bCs w:val="0"/>
          <w:highlight w:val="none"/>
          <w:lang w:val="en-US" w:eastAsia="zh-CN"/>
        </w:rPr>
        <w:t>20</w:t>
      </w:r>
      <w:r>
        <w:rPr>
          <w:rFonts w:hint="eastAsia" w:ascii="方正仿宋_GBK" w:hAnsi="方正仿宋_GBK" w:eastAsia="方正仿宋_GBK" w:cs="方正仿宋_GBK"/>
          <w:b w:val="0"/>
          <w:bCs w:val="0"/>
          <w:highlight w:val="none"/>
        </w:rPr>
        <w:t>分，得分率为</w:t>
      </w:r>
      <w:r>
        <w:rPr>
          <w:rFonts w:hint="eastAsia" w:ascii="方正仿宋_GBK" w:hAnsi="方正仿宋_GBK" w:eastAsia="方正仿宋_GBK" w:cs="方正仿宋_GBK"/>
          <w:b w:val="0"/>
          <w:bCs w:val="0"/>
          <w:highlight w:val="none"/>
          <w:lang w:val="en-US" w:eastAsia="zh-CN"/>
        </w:rPr>
        <w:t>100</w:t>
      </w:r>
      <w:r>
        <w:rPr>
          <w:rFonts w:hint="eastAsia" w:ascii="方正仿宋_GBK" w:hAnsi="方正仿宋_GBK" w:eastAsia="方正仿宋_GBK" w:cs="方正仿宋_GBK"/>
          <w:b w:val="0"/>
          <w:bCs w:val="0"/>
          <w:highlight w:val="none"/>
        </w:rPr>
        <w:t>%。具体打分情况详见：表1.综</w:t>
      </w:r>
      <w:r>
        <w:rPr>
          <w:rFonts w:hint="eastAsia" w:ascii="方正仿宋_GBK" w:hAnsi="方正仿宋_GBK" w:eastAsia="方正仿宋_GBK" w:cs="方正仿宋_GBK"/>
          <w:b w:val="0"/>
          <w:bCs w:val="0"/>
        </w:rPr>
        <w:t>合评分表。</w:t>
      </w:r>
    </w:p>
    <w:p w14:paraId="7C1B3641">
      <w:pPr>
        <w:pStyle w:val="2"/>
        <w:spacing w:before="0" w:after="0"/>
        <w:rPr>
          <w:rFonts w:ascii="Times New Roman" w:hAnsi="Times New Roman" w:eastAsia="仿宋_GB2312"/>
          <w:sz w:val="30"/>
          <w:szCs w:val="30"/>
          <w:highlight w:val="none"/>
        </w:rPr>
      </w:pPr>
      <w:r>
        <w:rPr>
          <w:rFonts w:ascii="Times New Roman" w:hAnsi="Times New Roman" w:eastAsia="仿宋_GB2312"/>
          <w:sz w:val="30"/>
          <w:szCs w:val="30"/>
          <w:highlight w:val="none"/>
        </w:rPr>
        <w:t>表1</w:t>
      </w:r>
      <w:r>
        <w:rPr>
          <w:rFonts w:hint="eastAsia" w:ascii="Times New Roman" w:hAnsi="Times New Roman" w:eastAsia="仿宋_GB2312"/>
          <w:sz w:val="30"/>
          <w:szCs w:val="30"/>
          <w:highlight w:val="none"/>
          <w:lang w:val="en-US" w:eastAsia="zh-CN"/>
        </w:rPr>
        <w:t>.</w:t>
      </w:r>
      <w:r>
        <w:rPr>
          <w:rFonts w:ascii="Times New Roman" w:hAnsi="Times New Roman" w:eastAsia="仿宋_GB2312"/>
          <w:sz w:val="30"/>
          <w:szCs w:val="30"/>
          <w:highlight w:val="none"/>
        </w:rPr>
        <w:t>综合评分表</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14:paraId="5D798A68">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3961DBDC">
            <w:pPr>
              <w:jc w:val="center"/>
              <w:rPr>
                <w:b/>
                <w:bCs/>
                <w:color w:val="000000"/>
                <w:sz w:val="22"/>
                <w:highlight w:val="none"/>
              </w:rPr>
            </w:pPr>
            <w:r>
              <w:rPr>
                <w:rFonts w:hint="eastAsia"/>
                <w:b/>
                <w:bCs/>
                <w:color w:val="000000"/>
                <w:sz w:val="22"/>
                <w:highlight w:val="none"/>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2BC0AE07">
            <w:pPr>
              <w:jc w:val="center"/>
              <w:rPr>
                <w:b/>
                <w:bCs/>
                <w:color w:val="000000"/>
                <w:sz w:val="22"/>
                <w:highlight w:val="none"/>
              </w:rPr>
            </w:pPr>
            <w:r>
              <w:rPr>
                <w:rFonts w:hint="eastAsia"/>
                <w:b/>
                <w:bCs/>
                <w:color w:val="000000"/>
                <w:sz w:val="22"/>
                <w:highlight w:val="none"/>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32C8B97B">
            <w:pPr>
              <w:jc w:val="center"/>
              <w:rPr>
                <w:b/>
                <w:bCs/>
                <w:color w:val="000000"/>
                <w:sz w:val="22"/>
                <w:highlight w:val="none"/>
              </w:rPr>
            </w:pPr>
            <w:r>
              <w:rPr>
                <w:rFonts w:hint="eastAsia"/>
                <w:b/>
                <w:bCs/>
                <w:color w:val="000000"/>
                <w:sz w:val="22"/>
                <w:highlight w:val="none"/>
              </w:rPr>
              <w:t>得分</w:t>
            </w:r>
          </w:p>
        </w:tc>
      </w:tr>
      <w:tr w14:paraId="187BECB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E4ADBB5">
            <w:pPr>
              <w:jc w:val="center"/>
              <w:rPr>
                <w:color w:val="000000"/>
                <w:sz w:val="22"/>
                <w:highlight w:val="none"/>
              </w:rPr>
            </w:pPr>
            <w:r>
              <w:rPr>
                <w:rFonts w:hint="eastAsia"/>
                <w:color w:val="000000"/>
                <w:sz w:val="22"/>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14:paraId="40D1832D">
            <w:pPr>
              <w:jc w:val="center"/>
              <w:rPr>
                <w:color w:val="000000"/>
                <w:sz w:val="22"/>
                <w:highlight w:val="none"/>
              </w:rPr>
            </w:pPr>
            <w:r>
              <w:rPr>
                <w:rFonts w:hint="eastAsia"/>
                <w:color w:val="000000"/>
                <w:sz w:val="22"/>
                <w:highlight w:val="none"/>
              </w:rPr>
              <w:t>20</w:t>
            </w:r>
          </w:p>
        </w:tc>
        <w:tc>
          <w:tcPr>
            <w:tcW w:w="2278" w:type="dxa"/>
            <w:tcBorders>
              <w:top w:val="nil"/>
              <w:left w:val="nil"/>
              <w:bottom w:val="single" w:color="auto" w:sz="4" w:space="0"/>
              <w:right w:val="single" w:color="auto" w:sz="4" w:space="0"/>
            </w:tcBorders>
            <w:shd w:val="clear" w:color="auto" w:fill="auto"/>
            <w:vAlign w:val="center"/>
          </w:tcPr>
          <w:p w14:paraId="51E4D910">
            <w:pPr>
              <w:jc w:val="center"/>
              <w:rPr>
                <w:rFonts w:hint="default" w:eastAsia="宋体"/>
                <w:color w:val="000000"/>
                <w:sz w:val="22"/>
                <w:highlight w:val="none"/>
                <w:lang w:val="en-US" w:eastAsia="zh-CN"/>
              </w:rPr>
            </w:pPr>
            <w:r>
              <w:rPr>
                <w:rFonts w:hint="eastAsia"/>
                <w:color w:val="000000"/>
                <w:sz w:val="22"/>
                <w:highlight w:val="none"/>
                <w:lang w:val="en-US" w:eastAsia="zh-CN"/>
              </w:rPr>
              <w:t>20</w:t>
            </w:r>
          </w:p>
        </w:tc>
      </w:tr>
      <w:tr w14:paraId="5F59DC8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63ACF4E">
            <w:pPr>
              <w:jc w:val="center"/>
              <w:rPr>
                <w:color w:val="000000"/>
                <w:sz w:val="22"/>
                <w:highlight w:val="none"/>
              </w:rPr>
            </w:pPr>
            <w:r>
              <w:rPr>
                <w:rFonts w:hint="eastAsia"/>
                <w:color w:val="000000"/>
                <w:sz w:val="22"/>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14:paraId="6D6F2E6E">
            <w:pPr>
              <w:jc w:val="center"/>
              <w:rPr>
                <w:color w:val="000000"/>
                <w:sz w:val="22"/>
                <w:highlight w:val="none"/>
              </w:rPr>
            </w:pPr>
            <w:r>
              <w:rPr>
                <w:rFonts w:hint="eastAsia"/>
                <w:color w:val="000000"/>
                <w:sz w:val="22"/>
                <w:highlight w:val="none"/>
              </w:rPr>
              <w:t>20</w:t>
            </w:r>
          </w:p>
        </w:tc>
        <w:tc>
          <w:tcPr>
            <w:tcW w:w="2278" w:type="dxa"/>
            <w:tcBorders>
              <w:top w:val="nil"/>
              <w:left w:val="nil"/>
              <w:bottom w:val="single" w:color="auto" w:sz="4" w:space="0"/>
              <w:right w:val="single" w:color="auto" w:sz="4" w:space="0"/>
            </w:tcBorders>
            <w:shd w:val="clear" w:color="auto" w:fill="auto"/>
            <w:vAlign w:val="center"/>
          </w:tcPr>
          <w:p w14:paraId="5DDB63C5">
            <w:pPr>
              <w:jc w:val="center"/>
              <w:rPr>
                <w:rFonts w:hint="default" w:eastAsia="宋体"/>
                <w:color w:val="000000"/>
                <w:sz w:val="22"/>
                <w:highlight w:val="none"/>
                <w:lang w:val="en-US" w:eastAsia="zh-CN"/>
              </w:rPr>
            </w:pPr>
            <w:r>
              <w:rPr>
                <w:rFonts w:hint="eastAsia"/>
                <w:color w:val="000000"/>
                <w:sz w:val="22"/>
                <w:highlight w:val="none"/>
                <w:lang w:val="en-US" w:eastAsia="zh-CN"/>
              </w:rPr>
              <w:t>19.47</w:t>
            </w:r>
          </w:p>
        </w:tc>
      </w:tr>
      <w:tr w14:paraId="65F0FF0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87B57C0">
            <w:pPr>
              <w:jc w:val="center"/>
              <w:rPr>
                <w:color w:val="000000"/>
                <w:sz w:val="22"/>
                <w:highlight w:val="none"/>
              </w:rPr>
            </w:pPr>
            <w:r>
              <w:rPr>
                <w:rFonts w:hint="eastAsia"/>
                <w:color w:val="000000"/>
                <w:sz w:val="22"/>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14:paraId="37CD18B3">
            <w:pPr>
              <w:jc w:val="center"/>
              <w:rPr>
                <w:color w:val="000000"/>
                <w:sz w:val="22"/>
                <w:highlight w:val="none"/>
              </w:rPr>
            </w:pPr>
            <w:r>
              <w:rPr>
                <w:rFonts w:hint="eastAsia"/>
                <w:color w:val="000000"/>
                <w:sz w:val="22"/>
                <w:highlight w:val="none"/>
              </w:rPr>
              <w:t>40</w:t>
            </w:r>
          </w:p>
        </w:tc>
        <w:tc>
          <w:tcPr>
            <w:tcW w:w="2278" w:type="dxa"/>
            <w:tcBorders>
              <w:top w:val="nil"/>
              <w:left w:val="nil"/>
              <w:bottom w:val="single" w:color="auto" w:sz="4" w:space="0"/>
              <w:right w:val="single" w:color="auto" w:sz="4" w:space="0"/>
            </w:tcBorders>
            <w:shd w:val="clear" w:color="auto" w:fill="auto"/>
            <w:vAlign w:val="center"/>
          </w:tcPr>
          <w:p w14:paraId="0B3E06C2">
            <w:pPr>
              <w:jc w:val="center"/>
              <w:rPr>
                <w:rFonts w:hint="default" w:eastAsia="宋体"/>
                <w:color w:val="000000"/>
                <w:sz w:val="22"/>
                <w:highlight w:val="none"/>
                <w:lang w:val="en-US" w:eastAsia="zh-CN"/>
              </w:rPr>
            </w:pPr>
            <w:r>
              <w:rPr>
                <w:rFonts w:hint="eastAsia"/>
                <w:color w:val="000000"/>
                <w:sz w:val="22"/>
                <w:highlight w:val="none"/>
                <w:lang w:val="en-US" w:eastAsia="zh-CN"/>
              </w:rPr>
              <w:t>34.2</w:t>
            </w:r>
          </w:p>
        </w:tc>
      </w:tr>
      <w:tr w14:paraId="55C9549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11B652B">
            <w:pPr>
              <w:jc w:val="center"/>
              <w:rPr>
                <w:color w:val="000000"/>
                <w:sz w:val="22"/>
                <w:highlight w:val="none"/>
              </w:rPr>
            </w:pPr>
            <w:r>
              <w:rPr>
                <w:rFonts w:hint="eastAsia"/>
                <w:color w:val="000000"/>
                <w:sz w:val="22"/>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14:paraId="2A6B7BB9">
            <w:pPr>
              <w:jc w:val="center"/>
              <w:rPr>
                <w:color w:val="000000"/>
                <w:sz w:val="22"/>
                <w:highlight w:val="none"/>
              </w:rPr>
            </w:pPr>
            <w:r>
              <w:rPr>
                <w:rFonts w:hint="eastAsia"/>
                <w:color w:val="000000"/>
                <w:sz w:val="22"/>
                <w:highlight w:val="none"/>
              </w:rPr>
              <w:t>20</w:t>
            </w:r>
          </w:p>
        </w:tc>
        <w:tc>
          <w:tcPr>
            <w:tcW w:w="2278" w:type="dxa"/>
            <w:tcBorders>
              <w:top w:val="nil"/>
              <w:left w:val="nil"/>
              <w:bottom w:val="single" w:color="auto" w:sz="4" w:space="0"/>
              <w:right w:val="single" w:color="auto" w:sz="4" w:space="0"/>
            </w:tcBorders>
            <w:shd w:val="clear" w:color="auto" w:fill="auto"/>
            <w:vAlign w:val="center"/>
          </w:tcPr>
          <w:p w14:paraId="3BFEB981">
            <w:pPr>
              <w:jc w:val="center"/>
              <w:rPr>
                <w:rFonts w:hint="default" w:eastAsia="宋体"/>
                <w:color w:val="000000"/>
                <w:sz w:val="22"/>
                <w:highlight w:val="none"/>
                <w:lang w:val="en-US" w:eastAsia="zh-CN"/>
              </w:rPr>
            </w:pPr>
            <w:r>
              <w:rPr>
                <w:rFonts w:hint="eastAsia"/>
                <w:color w:val="000000"/>
                <w:sz w:val="22"/>
                <w:highlight w:val="none"/>
                <w:lang w:val="en-US" w:eastAsia="zh-CN"/>
              </w:rPr>
              <w:t>20</w:t>
            </w:r>
          </w:p>
        </w:tc>
      </w:tr>
      <w:tr w14:paraId="47EA539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2FC9247">
            <w:pPr>
              <w:jc w:val="center"/>
              <w:rPr>
                <w:rFonts w:cs="宋体"/>
                <w:b/>
                <w:bCs/>
                <w:color w:val="000000"/>
                <w:sz w:val="22"/>
                <w:highlight w:val="none"/>
              </w:rPr>
            </w:pPr>
            <w:r>
              <w:rPr>
                <w:rFonts w:hint="eastAsia" w:cs="宋体"/>
                <w:b/>
                <w:bCs/>
                <w:color w:val="000000"/>
                <w:sz w:val="22"/>
                <w:highlight w:val="none"/>
              </w:rPr>
              <w:t>合计</w:t>
            </w:r>
          </w:p>
        </w:tc>
        <w:tc>
          <w:tcPr>
            <w:tcW w:w="2168" w:type="dxa"/>
            <w:tcBorders>
              <w:top w:val="nil"/>
              <w:left w:val="nil"/>
              <w:bottom w:val="single" w:color="auto" w:sz="4" w:space="0"/>
              <w:right w:val="single" w:color="auto" w:sz="4" w:space="0"/>
            </w:tcBorders>
            <w:shd w:val="clear" w:color="auto" w:fill="auto"/>
            <w:vAlign w:val="center"/>
          </w:tcPr>
          <w:p w14:paraId="67D2C5BF">
            <w:pPr>
              <w:jc w:val="center"/>
              <w:rPr>
                <w:b/>
                <w:bCs/>
                <w:color w:val="000000"/>
                <w:sz w:val="22"/>
                <w:highlight w:val="none"/>
              </w:rPr>
            </w:pPr>
            <w:r>
              <w:rPr>
                <w:rFonts w:hint="eastAsia"/>
                <w:b/>
                <w:bCs/>
                <w:color w:val="000000"/>
                <w:sz w:val="22"/>
                <w:highlight w:val="none"/>
              </w:rPr>
              <w:t>100</w:t>
            </w:r>
          </w:p>
        </w:tc>
        <w:tc>
          <w:tcPr>
            <w:tcW w:w="2278" w:type="dxa"/>
            <w:tcBorders>
              <w:top w:val="nil"/>
              <w:left w:val="nil"/>
              <w:bottom w:val="single" w:color="auto" w:sz="4" w:space="0"/>
              <w:right w:val="single" w:color="auto" w:sz="4" w:space="0"/>
            </w:tcBorders>
            <w:shd w:val="clear" w:color="auto" w:fill="auto"/>
            <w:vAlign w:val="center"/>
          </w:tcPr>
          <w:p w14:paraId="007E4E6D">
            <w:pPr>
              <w:jc w:val="center"/>
              <w:rPr>
                <w:rFonts w:hint="default" w:eastAsia="宋体"/>
                <w:b/>
                <w:bCs/>
                <w:color w:val="000000"/>
                <w:sz w:val="22"/>
                <w:highlight w:val="none"/>
                <w:lang w:val="en-US" w:eastAsia="zh-CN"/>
              </w:rPr>
            </w:pPr>
            <w:r>
              <w:rPr>
                <w:rFonts w:hint="eastAsia"/>
                <w:b/>
                <w:bCs/>
                <w:color w:val="000000"/>
                <w:sz w:val="22"/>
                <w:highlight w:val="none"/>
                <w:lang w:val="en-US" w:eastAsia="zh-CN"/>
              </w:rPr>
              <w:t>93.67</w:t>
            </w:r>
          </w:p>
        </w:tc>
      </w:tr>
    </w:tbl>
    <w:p w14:paraId="45BFB0A6">
      <w:pPr>
        <w:spacing w:line="560" w:lineRule="exact"/>
        <w:ind w:firstLine="640" w:firstLineChars="200"/>
        <w:rPr>
          <w:rFonts w:eastAsia="黑体"/>
          <w:sz w:val="32"/>
          <w:szCs w:val="32"/>
        </w:rPr>
      </w:pPr>
      <w:r>
        <w:rPr>
          <w:rFonts w:eastAsia="黑体"/>
          <w:sz w:val="32"/>
          <w:szCs w:val="32"/>
        </w:rPr>
        <w:t>四、绩效评价指标分析</w:t>
      </w:r>
    </w:p>
    <w:p w14:paraId="436596A3">
      <w:pPr>
        <w:pStyle w:val="2"/>
        <w:spacing w:before="0" w:after="0" w:line="560" w:lineRule="exact"/>
        <w:ind w:firstLine="643" w:firstLineChars="200"/>
        <w:jc w:val="both"/>
        <w:rPr>
          <w:rFonts w:ascii="Times New Roman" w:hAnsi="Times New Roman" w:eastAsia="楷体_GB2312"/>
          <w:highlight w:val="none"/>
        </w:rPr>
      </w:pPr>
      <w:r>
        <w:rPr>
          <w:rFonts w:ascii="Times New Roman" w:hAnsi="Times New Roman" w:eastAsia="楷体_GB2312"/>
          <w:highlight w:val="none"/>
        </w:rPr>
        <w:t>（一）项目决策情况</w:t>
      </w:r>
    </w:p>
    <w:p w14:paraId="30A9708F">
      <w:pPr>
        <w:spacing w:line="600" w:lineRule="exact"/>
        <w:ind w:firstLine="600" w:firstLineChars="200"/>
        <w:outlineLvl w:val="0"/>
        <w:rPr>
          <w:rFonts w:hint="eastAsia" w:ascii="方正仿宋_GBK" w:hAnsi="方正仿宋_GBK" w:eastAsia="方正仿宋_GBK" w:cs="方正仿宋_GBK"/>
          <w:sz w:val="30"/>
          <w:szCs w:val="30"/>
          <w:highlight w:val="none"/>
        </w:rPr>
      </w:pPr>
      <w:r>
        <w:rPr>
          <w:rFonts w:hint="eastAsia" w:ascii="方正仿宋_GBK" w:hAnsi="方正仿宋_GBK" w:eastAsia="方正仿宋_GBK" w:cs="方正仿宋_GBK"/>
          <w:sz w:val="30"/>
          <w:szCs w:val="30"/>
          <w:highlight w:val="none"/>
        </w:rPr>
        <w:t>项目决策类指标包括项目立项、绩效目标和资金投入三方面的内容，由6个三级指标构成，权重分值为20分，实际得分20分，得分率为100%。</w:t>
      </w:r>
    </w:p>
    <w:p w14:paraId="4A3F10AD">
      <w:pPr>
        <w:pStyle w:val="19"/>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1.项目立项</w:t>
      </w:r>
    </w:p>
    <w:p w14:paraId="307FFCA3">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（1）立项依据充分性</w:t>
      </w:r>
    </w:p>
    <w:p w14:paraId="62FBDD86">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5E8A43B7">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（2）立项程序规范性</w:t>
      </w:r>
    </w:p>
    <w:p w14:paraId="5860E4B3">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风险评估、绩效评估、集体决策，保障了程序的规范性。</w:t>
      </w:r>
    </w:p>
    <w:p w14:paraId="5C4E3FC7">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2.绩效目标</w:t>
      </w:r>
    </w:p>
    <w:p w14:paraId="220F8824">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（1）绩效目标合理性</w:t>
      </w:r>
    </w:p>
    <w:p w14:paraId="267A86E6">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4B42A1A0">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（2）绩效指标明确性</w:t>
      </w:r>
    </w:p>
    <w:p w14:paraId="65536A0B">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项目设置了明确的预期产出效益和效果，将绩效目标细化分解为具体的绩效指标，绩效目标与项目目标任务数相对应，绩效目标设定的绩效指标清晰、细化、可衡量。</w:t>
      </w:r>
    </w:p>
    <w:p w14:paraId="36A05064">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3.资金投入</w:t>
      </w:r>
    </w:p>
    <w:p w14:paraId="78CB25CA">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（1）预算编制科学性</w:t>
      </w:r>
    </w:p>
    <w:p w14:paraId="26165CF9">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预算编制经过科学论证，提供充分的测算依据佐证资料，预算内容与项目内容相匹配。项目投资额与工作任务相匹配。</w:t>
      </w:r>
    </w:p>
    <w:p w14:paraId="521CFF24">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（2）资金分配合理性</w:t>
      </w:r>
    </w:p>
    <w:p w14:paraId="4BC327FC">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资金分配额度与项目单位实际工作内容相适应，资金分配额度合理，资金分配依据充分。</w:t>
      </w:r>
    </w:p>
    <w:p w14:paraId="0946988B">
      <w:pPr>
        <w:pStyle w:val="2"/>
        <w:numPr>
          <w:ilvl w:val="0"/>
          <w:numId w:val="4"/>
        </w:numPr>
        <w:spacing w:before="0" w:after="0" w:line="560" w:lineRule="exact"/>
        <w:ind w:firstLine="643" w:firstLineChars="200"/>
        <w:jc w:val="both"/>
        <w:rPr>
          <w:rFonts w:ascii="楷体" w:hAnsi="楷体" w:eastAsia="楷体" w:cs="楷体"/>
        </w:rPr>
      </w:pPr>
      <w:r>
        <w:rPr>
          <w:rFonts w:hint="eastAsia" w:ascii="楷体" w:hAnsi="楷体" w:eastAsia="楷体" w:cs="楷体"/>
        </w:rPr>
        <w:t>项目过程情况</w:t>
      </w:r>
    </w:p>
    <w:p w14:paraId="371563B0">
      <w:pPr>
        <w:spacing w:line="600" w:lineRule="exact"/>
        <w:ind w:firstLine="640" w:firstLineChars="200"/>
        <w:outlineLvl w:val="0"/>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项目过程类指标包括资金管理和组织实施两方面的内容，由5个三级指标构成，权重分值为20分，实际得分20分，得分率为100%。</w:t>
      </w:r>
    </w:p>
    <w:p w14:paraId="21859047">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7DAE0E91">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1.资金管理</w:t>
      </w:r>
    </w:p>
    <w:p w14:paraId="7D69C408">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（1）资金到位率</w:t>
      </w:r>
    </w:p>
    <w:p w14:paraId="1DD52AD3">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本项目总投资1</w:t>
      </w:r>
      <w:r>
        <w:rPr>
          <w:rFonts w:hint="eastAsia" w:ascii="方正仿宋_GBK" w:hAnsi="方正仿宋_GBK" w:eastAsia="方正仿宋_GBK" w:cs="方正仿宋_GBK"/>
          <w:sz w:val="32"/>
          <w:szCs w:val="32"/>
          <w:lang w:val="en-US" w:eastAsia="zh-CN"/>
        </w:rPr>
        <w:t>58.95</w:t>
      </w:r>
      <w:r>
        <w:rPr>
          <w:rFonts w:hint="eastAsia" w:ascii="方正仿宋_GBK" w:hAnsi="方正仿宋_GBK" w:eastAsia="方正仿宋_GBK" w:cs="方正仿宋_GBK"/>
          <w:sz w:val="32"/>
          <w:szCs w:val="32"/>
        </w:rPr>
        <w:t>万元，财政资金及时足额到位，到位率100%，预算资金按计划进度执行。</w:t>
      </w:r>
    </w:p>
    <w:p w14:paraId="42F43606">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（2）预算执行率</w:t>
      </w:r>
    </w:p>
    <w:p w14:paraId="3DFE7DD2">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预算编制较为详细，项目资金支出总体能够按照预算执行，预算资金支出</w:t>
      </w:r>
      <w:r>
        <w:rPr>
          <w:rFonts w:hint="eastAsia" w:ascii="方正仿宋_GBK" w:hAnsi="方正仿宋_GBK" w:eastAsia="方正仿宋_GBK" w:cs="方正仿宋_GBK"/>
          <w:sz w:val="32"/>
          <w:szCs w:val="32"/>
          <w:lang w:val="en-US" w:eastAsia="zh-CN"/>
        </w:rPr>
        <w:t>137.72</w:t>
      </w:r>
      <w:r>
        <w:rPr>
          <w:rFonts w:hint="eastAsia" w:ascii="方正仿宋_GBK" w:hAnsi="方正仿宋_GBK" w:eastAsia="方正仿宋_GBK" w:cs="方正仿宋_GBK"/>
          <w:sz w:val="32"/>
          <w:szCs w:val="32"/>
        </w:rPr>
        <w:t>万元，预算执行率为8</w:t>
      </w:r>
      <w:r>
        <w:rPr>
          <w:rFonts w:hint="eastAsia" w:ascii="方正仿宋_GBK" w:hAnsi="方正仿宋_GBK" w:eastAsia="方正仿宋_GBK" w:cs="方正仿宋_GBK"/>
          <w:sz w:val="32"/>
          <w:szCs w:val="32"/>
          <w:lang w:val="en-US" w:eastAsia="zh-CN"/>
        </w:rPr>
        <w:t>6.64</w:t>
      </w:r>
      <w:r>
        <w:rPr>
          <w:rFonts w:hint="eastAsia" w:ascii="方正仿宋_GBK" w:hAnsi="方正仿宋_GBK" w:eastAsia="方正仿宋_GBK" w:cs="方正仿宋_GBK"/>
          <w:sz w:val="32"/>
          <w:szCs w:val="32"/>
        </w:rPr>
        <w:t>%。</w:t>
      </w:r>
    </w:p>
    <w:p w14:paraId="408BDD24">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（3）资金使用合规性</w:t>
      </w:r>
    </w:p>
    <w:p w14:paraId="23BB77BC">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6AA1A531">
      <w:pPr>
        <w:pStyle w:val="19"/>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2.组织实施</w:t>
      </w:r>
    </w:p>
    <w:p w14:paraId="734CE7F9">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（1）管理制度健全性</w:t>
      </w:r>
    </w:p>
    <w:p w14:paraId="36309D9B">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236F525A">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（2）制度执行有效性</w:t>
      </w:r>
    </w:p>
    <w:p w14:paraId="24CA873E">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对资金使用的合法合规性进行监督，年末对资金使用效果进行评价。项目管理、实施人员落实到位，有效按照计划执行。项目执行情况等资料齐全，项目相关手续完备，及时进行归档。</w:t>
      </w:r>
    </w:p>
    <w:p w14:paraId="3DC01938">
      <w:pPr>
        <w:pStyle w:val="9"/>
        <w:numPr>
          <w:ilvl w:val="0"/>
          <w:numId w:val="4"/>
        </w:numPr>
        <w:spacing w:line="560" w:lineRule="exact"/>
        <w:ind w:firstLine="643"/>
        <w:rPr>
          <w:rFonts w:eastAsia="楷体_GB2312"/>
          <w:b/>
          <w:bCs/>
          <w:sz w:val="32"/>
          <w:szCs w:val="32"/>
        </w:rPr>
      </w:pPr>
      <w:r>
        <w:rPr>
          <w:rFonts w:eastAsia="楷体_GB2312"/>
          <w:b/>
          <w:bCs/>
          <w:sz w:val="32"/>
          <w:szCs w:val="32"/>
        </w:rPr>
        <w:t>项目产出</w:t>
      </w:r>
      <w:r>
        <w:rPr>
          <w:rFonts w:hint="eastAsia" w:eastAsia="楷体_GB2312"/>
          <w:b/>
          <w:bCs/>
          <w:sz w:val="32"/>
          <w:szCs w:val="32"/>
        </w:rPr>
        <w:t>情况</w:t>
      </w:r>
    </w:p>
    <w:p w14:paraId="7F2CBA45">
      <w:pPr>
        <w:spacing w:line="600" w:lineRule="exact"/>
        <w:ind w:firstLine="640" w:firstLineChars="200"/>
        <w:outlineLvl w:val="0"/>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项目产出类指标包括产出数量、产出质量、产出时效、产出成本四方面的内容，由</w:t>
      </w:r>
      <w:r>
        <w:rPr>
          <w:rFonts w:hint="eastAsia" w:ascii="方正仿宋_GBK" w:hAnsi="方正仿宋_GBK" w:eastAsia="方正仿宋_GBK" w:cs="方正仿宋_GBK"/>
          <w:sz w:val="32"/>
          <w:szCs w:val="32"/>
          <w:highlight w:val="none"/>
          <w:lang w:val="en-US" w:eastAsia="zh-CN"/>
        </w:rPr>
        <w:t>9</w:t>
      </w:r>
      <w:r>
        <w:rPr>
          <w:rFonts w:hint="eastAsia" w:ascii="方正仿宋_GBK" w:hAnsi="方正仿宋_GBK" w:eastAsia="方正仿宋_GBK" w:cs="方正仿宋_GBK"/>
          <w:sz w:val="32"/>
          <w:szCs w:val="32"/>
          <w:highlight w:val="none"/>
        </w:rPr>
        <w:t>个三级指标构成，权重分为40分，实际得分</w:t>
      </w:r>
      <w:r>
        <w:rPr>
          <w:rFonts w:hint="eastAsia" w:ascii="方正仿宋_GBK" w:hAnsi="方正仿宋_GBK" w:eastAsia="方正仿宋_GBK" w:cs="方正仿宋_GBK"/>
          <w:sz w:val="32"/>
          <w:szCs w:val="32"/>
          <w:highlight w:val="none"/>
          <w:lang w:val="en-US" w:eastAsia="zh-CN"/>
        </w:rPr>
        <w:t>27.54</w:t>
      </w:r>
      <w:r>
        <w:rPr>
          <w:rFonts w:hint="eastAsia" w:ascii="方正仿宋_GBK" w:hAnsi="方正仿宋_GBK" w:eastAsia="方正仿宋_GBK" w:cs="方正仿宋_GBK"/>
          <w:sz w:val="32"/>
          <w:szCs w:val="32"/>
          <w:highlight w:val="none"/>
        </w:rPr>
        <w:t>分，得分率为</w:t>
      </w:r>
      <w:r>
        <w:rPr>
          <w:rFonts w:hint="eastAsia" w:ascii="方正仿宋_GBK" w:hAnsi="方正仿宋_GBK" w:eastAsia="方正仿宋_GBK" w:cs="方正仿宋_GBK"/>
          <w:sz w:val="32"/>
          <w:szCs w:val="32"/>
          <w:highlight w:val="none"/>
          <w:lang w:val="en-US" w:eastAsia="zh-CN"/>
        </w:rPr>
        <w:t>68.85</w:t>
      </w:r>
      <w:r>
        <w:rPr>
          <w:rFonts w:hint="eastAsia" w:ascii="方正仿宋_GBK" w:hAnsi="方正仿宋_GBK" w:eastAsia="方正仿宋_GBK" w:cs="方正仿宋_GBK"/>
          <w:sz w:val="32"/>
          <w:szCs w:val="32"/>
          <w:highlight w:val="none"/>
        </w:rPr>
        <w:t>%。具体产出指标完成情况如下：</w:t>
      </w:r>
    </w:p>
    <w:p w14:paraId="08AA497E">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fldChar w:fldCharType="begin"/>
      </w:r>
      <w:r>
        <w:rPr>
          <w:rFonts w:hint="eastAsia" w:ascii="方正仿宋_GBK" w:hAnsi="方正仿宋_GBK" w:eastAsia="方正仿宋_GBK" w:cs="方正仿宋_GBK"/>
          <w:sz w:val="32"/>
          <w:szCs w:val="32"/>
        </w:rPr>
        <w:instrText xml:space="preserve"> = 1 \* GB3 </w:instrText>
      </w:r>
      <w:r>
        <w:rPr>
          <w:rFonts w:hint="eastAsia" w:ascii="方正仿宋_GBK" w:hAnsi="方正仿宋_GBK" w:eastAsia="方正仿宋_GBK" w:cs="方正仿宋_GBK"/>
          <w:sz w:val="32"/>
          <w:szCs w:val="32"/>
        </w:rPr>
        <w:fldChar w:fldCharType="separate"/>
      </w:r>
      <w:r>
        <w:rPr>
          <w:rFonts w:hint="eastAsia" w:ascii="方正仿宋_GBK" w:hAnsi="方正仿宋_GBK" w:eastAsia="方正仿宋_GBK" w:cs="方正仿宋_GBK"/>
          <w:sz w:val="32"/>
          <w:szCs w:val="32"/>
        </w:rPr>
        <w:t>①</w:t>
      </w:r>
      <w:r>
        <w:rPr>
          <w:rFonts w:hint="eastAsia" w:ascii="方正仿宋_GBK" w:hAnsi="方正仿宋_GBK" w:eastAsia="方正仿宋_GBK" w:cs="方正仿宋_GBK"/>
          <w:sz w:val="32"/>
          <w:szCs w:val="32"/>
        </w:rPr>
        <w:fldChar w:fldCharType="end"/>
      </w:r>
      <w:r>
        <w:rPr>
          <w:rFonts w:hint="eastAsia" w:ascii="方正仿宋_GBK" w:hAnsi="方正仿宋_GBK" w:eastAsia="方正仿宋_GBK" w:cs="方正仿宋_GBK"/>
          <w:sz w:val="32"/>
          <w:szCs w:val="32"/>
        </w:rPr>
        <w:t>数量指标：</w:t>
      </w:r>
    </w:p>
    <w:p w14:paraId="177093E7">
      <w:pPr>
        <w:spacing w:line="600" w:lineRule="exact"/>
        <w:ind w:firstLine="640" w:firstLineChars="200"/>
        <w:outlineLvl w:val="0"/>
        <w:rPr>
          <w:rFonts w:hint="default" w:ascii="方正仿宋_GBK" w:hAnsi="方正仿宋_GBK" w:eastAsia="方正仿宋_GBK" w:cs="方正仿宋_GBK"/>
          <w:sz w:val="32"/>
          <w:szCs w:val="32"/>
          <w:highlight w:val="cyan"/>
          <w:lang w:val="en-US" w:eastAsia="zh-CN"/>
        </w:rPr>
      </w:pPr>
      <w:r>
        <w:rPr>
          <w:rFonts w:hint="eastAsia" w:ascii="方正仿宋_GBK" w:hAnsi="方正仿宋_GBK" w:eastAsia="方正仿宋_GBK" w:cs="方正仿宋_GBK"/>
          <w:sz w:val="32"/>
          <w:szCs w:val="32"/>
          <w:highlight w:val="none"/>
          <w:lang w:val="en-US" w:eastAsia="zh-CN"/>
        </w:rPr>
        <w:t>指标1：弥补办公费开支次数，指标值：大于等于28次，实际完成值：22次，指标完成率78.57%，偏差原因：年初设定指标时未考虑全面，本年办公费实际开支次数少于预期目标。改进措施：在今后的项目目标设置过程中，更贴合学校办公费用的开支次数，降低偏差值。</w:t>
      </w:r>
    </w:p>
    <w:p w14:paraId="41964F96">
      <w:pPr>
        <w:spacing w:line="600" w:lineRule="exact"/>
        <w:ind w:firstLine="640" w:firstLineChars="200"/>
        <w:outlineLvl w:val="0"/>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 xml:space="preserve">  指标2：弥补公用水费电费网费开支次数，指标值：大于等于20次，实际完成值：13次，指标完成率65%，偏差原因：由干部分月份的电话费是合并支付，导致支付次数减少。改进措施：在今后的项目目标设置过程中，更贴合学校水费电费网费的开支次数，降低偏差值。</w:t>
      </w:r>
    </w:p>
    <w:p w14:paraId="6C740A33">
      <w:pPr>
        <w:spacing w:line="600" w:lineRule="exact"/>
        <w:ind w:firstLine="640" w:firstLineChars="200"/>
        <w:outlineLvl w:val="0"/>
        <w:rPr>
          <w:rFonts w:hint="default" w:ascii="方正仿宋_GBK" w:hAnsi="方正仿宋_GBK" w:eastAsia="方正仿宋_GBK" w:cs="方正仿宋_GBK"/>
          <w:sz w:val="32"/>
          <w:szCs w:val="32"/>
          <w:highlight w:val="cyan"/>
          <w:lang w:val="en-US" w:eastAsia="zh-CN"/>
        </w:rPr>
      </w:pPr>
      <w:r>
        <w:rPr>
          <w:rFonts w:hint="eastAsia" w:ascii="方正仿宋_GBK" w:hAnsi="方正仿宋_GBK" w:eastAsia="方正仿宋_GBK" w:cs="方正仿宋_GBK"/>
          <w:sz w:val="32"/>
          <w:szCs w:val="32"/>
          <w:highlight w:val="none"/>
          <w:lang w:val="en-US" w:eastAsia="zh-CN"/>
        </w:rPr>
        <w:t>指标3：弥补物业管理费开支次数，指标值：大于等于10次，实际完成值：4次，指标完成率40%，偏差原因：年初设定指标时未考虑全面，本年物业管理费实际开支次数少于预期目标。改进措施：在今后的项目目标设置过程中，更贴合学校物业管理费的开支次数，降低偏差值。</w:t>
      </w:r>
    </w:p>
    <w:p w14:paraId="4EC561E0">
      <w:pPr>
        <w:spacing w:line="600" w:lineRule="exact"/>
        <w:ind w:firstLine="640" w:firstLineChars="200"/>
        <w:outlineLvl w:val="0"/>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指标4：弥补维修（护）费开支次数，指标值：大于等于6次，实际完成值6次 ，指标完成率100%。</w:t>
      </w:r>
    </w:p>
    <w:p w14:paraId="168911C3">
      <w:pPr>
        <w:spacing w:line="600" w:lineRule="exact"/>
        <w:ind w:firstLine="640" w:firstLineChars="200"/>
        <w:outlineLvl w:val="0"/>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指标5：弥补专用材料费开支次数，指标值：&gt;5次，实际完成值：11次，指标完成率100%。</w:t>
      </w:r>
    </w:p>
    <w:p w14:paraId="647CC606">
      <w:pPr>
        <w:spacing w:line="600" w:lineRule="exact"/>
        <w:ind w:firstLine="640" w:firstLineChars="200"/>
        <w:outlineLvl w:val="0"/>
        <w:rPr>
          <w:rFonts w:hint="default"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指标6：弥补其他学生活动费用开支次数，指标值：大于等于8次，实际完成值：0次，指标完成率0%，偏差原因：学生活动费用合并至办公费支出。改进措施：在今后的项目目标设置过程中，准确设置项目目标。</w:t>
      </w:r>
    </w:p>
    <w:p w14:paraId="10EF7238">
      <w:pPr>
        <w:spacing w:line="600" w:lineRule="exact"/>
        <w:ind w:firstLine="640" w:firstLineChars="200"/>
        <w:outlineLvl w:val="0"/>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指标7：弥补教学设备购置开支次数，指标值：大于等于12次，实际完成值：3次，指标完成率25%，偏差原因：单次购买教学设备金额较大，开支次数相应减少。改进措施：在今后的项目目标设置过程中，更贴合学校教学设备购置开支次数，降低偏差值。</w:t>
      </w:r>
    </w:p>
    <w:p w14:paraId="7ABDBFCA">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fldChar w:fldCharType="begin"/>
      </w:r>
      <w:r>
        <w:rPr>
          <w:rFonts w:hint="eastAsia" w:ascii="方正仿宋_GBK" w:hAnsi="方正仿宋_GBK" w:eastAsia="方正仿宋_GBK" w:cs="方正仿宋_GBK"/>
          <w:sz w:val="32"/>
          <w:szCs w:val="32"/>
        </w:rPr>
        <w:instrText xml:space="preserve"> = 2 \* GB3 </w:instrText>
      </w:r>
      <w:r>
        <w:rPr>
          <w:rFonts w:hint="eastAsia" w:ascii="方正仿宋_GBK" w:hAnsi="方正仿宋_GBK" w:eastAsia="方正仿宋_GBK" w:cs="方正仿宋_GBK"/>
          <w:sz w:val="32"/>
          <w:szCs w:val="32"/>
        </w:rPr>
        <w:fldChar w:fldCharType="separate"/>
      </w:r>
      <w:r>
        <w:rPr>
          <w:rFonts w:hint="eastAsia" w:ascii="方正仿宋_GBK" w:hAnsi="方正仿宋_GBK" w:eastAsia="方正仿宋_GBK" w:cs="方正仿宋_GBK"/>
          <w:sz w:val="32"/>
          <w:szCs w:val="32"/>
        </w:rPr>
        <w:t>②</w:t>
      </w:r>
      <w:r>
        <w:rPr>
          <w:rFonts w:hint="eastAsia" w:ascii="方正仿宋_GBK" w:hAnsi="方正仿宋_GBK" w:eastAsia="方正仿宋_GBK" w:cs="方正仿宋_GBK"/>
          <w:sz w:val="32"/>
          <w:szCs w:val="32"/>
        </w:rPr>
        <w:fldChar w:fldCharType="end"/>
      </w:r>
      <w:r>
        <w:rPr>
          <w:rFonts w:hint="eastAsia" w:ascii="方正仿宋_GBK" w:hAnsi="方正仿宋_GBK" w:eastAsia="方正仿宋_GBK" w:cs="方正仿宋_GBK"/>
          <w:sz w:val="32"/>
          <w:szCs w:val="32"/>
        </w:rPr>
        <w:t>质量指标：</w:t>
      </w:r>
    </w:p>
    <w:p w14:paraId="2A4686B2">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指标1：公用经费使用合格率，指标值：100%，实际完成值：100%，指标完成率100%。</w:t>
      </w:r>
    </w:p>
    <w:p w14:paraId="46938881">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fldChar w:fldCharType="begin"/>
      </w:r>
      <w:r>
        <w:rPr>
          <w:rFonts w:hint="eastAsia" w:ascii="方正仿宋_GBK" w:hAnsi="方正仿宋_GBK" w:eastAsia="方正仿宋_GBK" w:cs="方正仿宋_GBK"/>
          <w:sz w:val="32"/>
          <w:szCs w:val="32"/>
        </w:rPr>
        <w:instrText xml:space="preserve"> = 3 \* GB3 </w:instrText>
      </w:r>
      <w:r>
        <w:rPr>
          <w:rFonts w:hint="eastAsia" w:ascii="方正仿宋_GBK" w:hAnsi="方正仿宋_GBK" w:eastAsia="方正仿宋_GBK" w:cs="方正仿宋_GBK"/>
          <w:sz w:val="32"/>
          <w:szCs w:val="32"/>
        </w:rPr>
        <w:fldChar w:fldCharType="separate"/>
      </w:r>
      <w:r>
        <w:rPr>
          <w:rFonts w:hint="eastAsia" w:ascii="方正仿宋_GBK" w:hAnsi="方正仿宋_GBK" w:eastAsia="方正仿宋_GBK" w:cs="方正仿宋_GBK"/>
          <w:sz w:val="32"/>
          <w:szCs w:val="32"/>
        </w:rPr>
        <w:t>③</w:t>
      </w:r>
      <w:r>
        <w:rPr>
          <w:rFonts w:hint="eastAsia" w:ascii="方正仿宋_GBK" w:hAnsi="方正仿宋_GBK" w:eastAsia="方正仿宋_GBK" w:cs="方正仿宋_GBK"/>
          <w:sz w:val="32"/>
          <w:szCs w:val="32"/>
        </w:rPr>
        <w:fldChar w:fldCharType="end"/>
      </w:r>
      <w:r>
        <w:rPr>
          <w:rFonts w:hint="eastAsia" w:ascii="方正仿宋_GBK" w:hAnsi="方正仿宋_GBK" w:eastAsia="方正仿宋_GBK" w:cs="方正仿宋_GBK"/>
          <w:sz w:val="32"/>
          <w:szCs w:val="32"/>
        </w:rPr>
        <w:t>时效指标：</w:t>
      </w:r>
    </w:p>
    <w:p w14:paraId="1C6083F2">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指标1：截止2024年12月资金执行率，指标值：100%，实际完成值：</w:t>
      </w:r>
      <w:r>
        <w:rPr>
          <w:rFonts w:hint="eastAsia" w:ascii="方正仿宋_GBK" w:hAnsi="方正仿宋_GBK" w:eastAsia="方正仿宋_GBK" w:cs="方正仿宋_GBK"/>
          <w:sz w:val="32"/>
          <w:szCs w:val="32"/>
          <w:lang w:val="en-US" w:eastAsia="zh-CN"/>
        </w:rPr>
        <w:t>86.64</w:t>
      </w:r>
      <w:r>
        <w:rPr>
          <w:rFonts w:hint="eastAsia" w:ascii="方正仿宋_GBK" w:hAnsi="方正仿宋_GBK" w:eastAsia="方正仿宋_GBK" w:cs="方正仿宋_GBK"/>
          <w:sz w:val="32"/>
          <w:szCs w:val="32"/>
        </w:rPr>
        <w:t>%，指标完成率</w:t>
      </w:r>
      <w:r>
        <w:rPr>
          <w:rFonts w:hint="eastAsia" w:ascii="方正仿宋_GBK" w:hAnsi="方正仿宋_GBK" w:eastAsia="方正仿宋_GBK" w:cs="方正仿宋_GBK"/>
          <w:sz w:val="32"/>
          <w:szCs w:val="32"/>
          <w:lang w:val="en-US" w:eastAsia="zh-CN"/>
        </w:rPr>
        <w:t>86.64</w:t>
      </w:r>
      <w:r>
        <w:rPr>
          <w:rFonts w:hint="eastAsia" w:ascii="方正仿宋_GBK" w:hAnsi="方正仿宋_GBK" w:eastAsia="方正仿宋_GBK" w:cs="方正仿宋_GBK"/>
          <w:sz w:val="32"/>
          <w:szCs w:val="32"/>
        </w:rPr>
        <w:t>%。偏差原因：本年度部分经费未使用，管理效率有待提高，未及时提交用款计划。改进措施：在今后的项目使用中及时提交用款计划，完成资金支付。</w:t>
      </w:r>
    </w:p>
    <w:p w14:paraId="3638A052">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fldChar w:fldCharType="begin"/>
      </w:r>
      <w:r>
        <w:rPr>
          <w:rFonts w:hint="eastAsia" w:ascii="方正仿宋_GBK" w:hAnsi="方正仿宋_GBK" w:eastAsia="方正仿宋_GBK" w:cs="方正仿宋_GBK"/>
          <w:sz w:val="32"/>
          <w:szCs w:val="32"/>
        </w:rPr>
        <w:instrText xml:space="preserve"> = 4 \* GB3 </w:instrText>
      </w:r>
      <w:r>
        <w:rPr>
          <w:rFonts w:hint="eastAsia" w:ascii="方正仿宋_GBK" w:hAnsi="方正仿宋_GBK" w:eastAsia="方正仿宋_GBK" w:cs="方正仿宋_GBK"/>
          <w:sz w:val="32"/>
          <w:szCs w:val="32"/>
        </w:rPr>
        <w:fldChar w:fldCharType="separate"/>
      </w:r>
      <w:r>
        <w:rPr>
          <w:rFonts w:hint="eastAsia" w:ascii="方正仿宋_GBK" w:hAnsi="方正仿宋_GBK" w:eastAsia="方正仿宋_GBK" w:cs="方正仿宋_GBK"/>
          <w:sz w:val="32"/>
          <w:szCs w:val="32"/>
        </w:rPr>
        <w:t>④</w:t>
      </w:r>
      <w:r>
        <w:rPr>
          <w:rFonts w:hint="eastAsia" w:ascii="方正仿宋_GBK" w:hAnsi="方正仿宋_GBK" w:eastAsia="方正仿宋_GBK" w:cs="方正仿宋_GBK"/>
          <w:sz w:val="32"/>
          <w:szCs w:val="32"/>
        </w:rPr>
        <w:fldChar w:fldCharType="end"/>
      </w:r>
      <w:r>
        <w:rPr>
          <w:rFonts w:hint="eastAsia" w:ascii="方正仿宋_GBK" w:hAnsi="方正仿宋_GBK" w:eastAsia="方正仿宋_GBK" w:cs="方正仿宋_GBK"/>
          <w:sz w:val="32"/>
          <w:szCs w:val="32"/>
        </w:rPr>
        <w:t>成本指标：</w:t>
      </w:r>
    </w:p>
    <w:p w14:paraId="7F016637">
      <w:pPr>
        <w:spacing w:line="600" w:lineRule="exact"/>
        <w:ind w:firstLine="640" w:firstLineChars="200"/>
        <w:outlineLvl w:val="0"/>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指标1：用于办公费的支出，指标值：小于等于1.14万元/次，实际完成值：0.6万元/次，指标完成率52.63%，偏差原因：年初设定指标时未考虑全面，本年办公费实际开支金额少于预期目标。改进措施：在今后的项目目标设置过程中，更贴合学校办公费用的开支金额，降低偏差值。</w:t>
      </w:r>
    </w:p>
    <w:p w14:paraId="7782D343">
      <w:pPr>
        <w:spacing w:line="600" w:lineRule="exact"/>
        <w:ind w:firstLine="640" w:firstLineChars="200"/>
        <w:outlineLvl w:val="0"/>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 xml:space="preserve">  指标2：用于水费电费网费的支出，指标值：小于等于1.33万元/次，实际完成值：1.6万元/次，指标完成率0%，偏差原因：由干部分月份的电话费是合并支付，导致单次平均的支付金额偏大。改进措施：在今后的项目目标设置过程中，更贴合学校办公费用的开支金额，降低偏差值。</w:t>
      </w:r>
    </w:p>
    <w:p w14:paraId="49FD49F6">
      <w:pPr>
        <w:spacing w:line="600" w:lineRule="exact"/>
        <w:ind w:firstLine="640" w:firstLineChars="200"/>
        <w:outlineLvl w:val="0"/>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指标3：用于物业管理费的支出，指标值：小于等于2万元/次，实际完成值：1.3万元/次，指标完成率65%，偏差原因：年初设定指标时未考虑全面，本年物业管理费实际开支金额少于预期目标。改进措施：在今后的项目目标设置过程中，更贴合学校物业管理费用的开支金额，降低偏差值。</w:t>
      </w:r>
    </w:p>
    <w:p w14:paraId="1306ED55">
      <w:pPr>
        <w:spacing w:line="600" w:lineRule="exact"/>
        <w:ind w:firstLine="640" w:firstLineChars="200"/>
        <w:outlineLvl w:val="0"/>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指标4：用于维修（护）费的支出，指标值：小于等于5万元/次，实际完成值1.36万元/次 ，指标完成率27.2%，偏差原因：年初设定指标时未考虑全面，本年维修（护）费实际开支金额少于预期目标。改进措施：在今后的项目目标设置过程中，更贴合学校维修（护）费的开支金额，降低偏差值。</w:t>
      </w:r>
    </w:p>
    <w:p w14:paraId="210E7EAC">
      <w:pPr>
        <w:spacing w:line="600" w:lineRule="exact"/>
        <w:ind w:firstLine="640" w:firstLineChars="200"/>
        <w:outlineLvl w:val="0"/>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指标5：用于专用材料费的支出，指标值：小于等于1万元/次，实际完成值：1.73万元/次，指标完成率0%，偏差原因：项个别几次支付金额较大，导致单次平均的支付金额偏大。改进措施：在今后的项目目标设置过程中，更贴合学校维修（护）费的开支金额，降低偏差值。</w:t>
      </w:r>
    </w:p>
    <w:p w14:paraId="7D3731DF">
      <w:pPr>
        <w:spacing w:line="600" w:lineRule="exact"/>
        <w:ind w:firstLine="640" w:firstLineChars="200"/>
        <w:outlineLvl w:val="0"/>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指标6：用于其他学生活动费用的支出，指标值：小于等于1.88万元/次，实际完成值：0万元/次，指标完成率0%，偏差原因：学生活动费用合并至办公费支出。改进措施：在今后的项目目标设置过程中，更贴合学校维修（护）费的开支金额，降低偏差值。</w:t>
      </w:r>
    </w:p>
    <w:p w14:paraId="1A1C07B7">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highlight w:val="none"/>
          <w:lang w:val="en-US" w:eastAsia="zh-CN"/>
        </w:rPr>
        <w:t>指标7：用于教学设备购置的支出，指标值：小于等于2.5万元/次，实际完成值：7.39万元/次，指标完成率0%，偏差原因：购买厨房设备金额较大。改进措施：在今后的项目目标设置过程中，更贴合学校维修（护）费的开支金额，降低偏差值。</w:t>
      </w:r>
    </w:p>
    <w:p w14:paraId="28D5639F">
      <w:pPr>
        <w:pStyle w:val="9"/>
        <w:numPr>
          <w:ilvl w:val="0"/>
          <w:numId w:val="4"/>
        </w:numPr>
        <w:spacing w:line="560" w:lineRule="exact"/>
        <w:ind w:firstLine="643"/>
        <w:rPr>
          <w:rFonts w:eastAsia="楷体_GB2312"/>
          <w:b/>
          <w:bCs/>
          <w:sz w:val="32"/>
          <w:szCs w:val="32"/>
        </w:rPr>
      </w:pPr>
      <w:r>
        <w:rPr>
          <w:rFonts w:hint="eastAsia" w:eastAsia="楷体_GB2312"/>
          <w:b/>
          <w:bCs/>
          <w:sz w:val="32"/>
          <w:szCs w:val="32"/>
        </w:rPr>
        <w:t>项目效益情况</w:t>
      </w:r>
    </w:p>
    <w:p w14:paraId="590210FA">
      <w:pPr>
        <w:spacing w:line="600" w:lineRule="exact"/>
        <w:ind w:firstLine="640" w:firstLineChars="200"/>
        <w:outlineLvl w:val="0"/>
        <w:rPr>
          <w:rFonts w:hint="eastAsia" w:ascii="仿宋" w:hAnsi="仿宋" w:eastAsia="仿宋" w:cs="仿宋"/>
          <w:sz w:val="32"/>
          <w:szCs w:val="32"/>
          <w:highlight w:val="none"/>
        </w:rPr>
      </w:pPr>
      <w:r>
        <w:rPr>
          <w:rFonts w:hint="eastAsia" w:ascii="仿宋" w:hAnsi="仿宋" w:eastAsia="仿宋" w:cs="仿宋"/>
          <w:sz w:val="32"/>
          <w:szCs w:val="32"/>
        </w:rPr>
        <w:t>项</w:t>
      </w:r>
      <w:r>
        <w:rPr>
          <w:rFonts w:hint="eastAsia" w:ascii="仿宋" w:hAnsi="仿宋" w:eastAsia="仿宋" w:cs="仿宋"/>
          <w:sz w:val="32"/>
          <w:szCs w:val="32"/>
          <w:highlight w:val="none"/>
        </w:rPr>
        <w:t>目效益类指标包括项目实施效益和满意度两方面的内容，由1个三级指标构成，权重分为20分，实际得分</w:t>
      </w:r>
      <w:r>
        <w:rPr>
          <w:rFonts w:hint="eastAsia" w:ascii="仿宋" w:hAnsi="仿宋" w:eastAsia="仿宋" w:cs="仿宋"/>
          <w:sz w:val="32"/>
          <w:szCs w:val="32"/>
          <w:highlight w:val="none"/>
          <w:lang w:val="en-US" w:eastAsia="zh-CN"/>
        </w:rPr>
        <w:t>20</w:t>
      </w:r>
      <w:r>
        <w:rPr>
          <w:rFonts w:hint="eastAsia" w:ascii="仿宋" w:hAnsi="仿宋" w:eastAsia="仿宋" w:cs="仿宋"/>
          <w:sz w:val="32"/>
          <w:szCs w:val="32"/>
          <w:highlight w:val="none"/>
        </w:rPr>
        <w:t>分，得分率为</w:t>
      </w:r>
      <w:r>
        <w:rPr>
          <w:rFonts w:hint="eastAsia" w:ascii="仿宋" w:hAnsi="仿宋" w:eastAsia="仿宋" w:cs="仿宋"/>
          <w:sz w:val="32"/>
          <w:szCs w:val="32"/>
          <w:highlight w:val="none"/>
          <w:lang w:val="en-US" w:eastAsia="zh-CN"/>
        </w:rPr>
        <w:t>100</w:t>
      </w:r>
      <w:r>
        <w:rPr>
          <w:rFonts w:hint="eastAsia" w:ascii="仿宋" w:hAnsi="仿宋" w:eastAsia="仿宋" w:cs="仿宋"/>
          <w:sz w:val="32"/>
          <w:szCs w:val="32"/>
          <w:highlight w:val="none"/>
        </w:rPr>
        <w:t>%。具体效益指标及满意度指标完成情况如下：</w:t>
      </w:r>
    </w:p>
    <w:p w14:paraId="5DDCCE9D">
      <w:pPr>
        <w:spacing w:line="600" w:lineRule="exact"/>
        <w:ind w:firstLine="643" w:firstLineChars="200"/>
        <w:outlineLvl w:val="0"/>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1.实施效益</w:t>
      </w:r>
    </w:p>
    <w:p w14:paraId="5B26B71A">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社会效益指标：保障顺利开展教育教学活动，指标值：有效</w:t>
      </w:r>
      <w:r>
        <w:rPr>
          <w:rFonts w:hint="eastAsia" w:ascii="仿宋_GB2312" w:hAnsi="仿宋_GB2312" w:eastAsia="仿宋_GB2312" w:cs="仿宋_GB2312"/>
          <w:sz w:val="32"/>
          <w:szCs w:val="32"/>
          <w:lang w:val="en-US" w:eastAsia="zh-CN"/>
        </w:rPr>
        <w:t>保障</w:t>
      </w:r>
      <w:r>
        <w:rPr>
          <w:rFonts w:hint="eastAsia" w:ascii="仿宋_GB2312" w:hAnsi="仿宋_GB2312" w:eastAsia="仿宋_GB2312" w:cs="仿宋_GB2312"/>
          <w:sz w:val="32"/>
          <w:szCs w:val="32"/>
        </w:rPr>
        <w:t>，实际完成值</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有效</w:t>
      </w:r>
      <w:r>
        <w:rPr>
          <w:rFonts w:hint="eastAsia" w:ascii="仿宋_GB2312" w:hAnsi="仿宋_GB2312" w:eastAsia="仿宋_GB2312" w:cs="仿宋_GB2312"/>
          <w:sz w:val="32"/>
          <w:szCs w:val="32"/>
          <w:lang w:val="en-US" w:eastAsia="zh-CN"/>
        </w:rPr>
        <w:t>保障</w:t>
      </w:r>
      <w:r>
        <w:rPr>
          <w:rFonts w:hint="eastAsia" w:ascii="仿宋_GB2312" w:hAnsi="仿宋_GB2312" w:eastAsia="仿宋_GB2312" w:cs="仿宋_GB2312"/>
          <w:sz w:val="32"/>
          <w:szCs w:val="32"/>
        </w:rPr>
        <w:t>，指标完成率100%。</w:t>
      </w:r>
    </w:p>
    <w:p w14:paraId="7E084682">
      <w:pPr>
        <w:spacing w:line="600" w:lineRule="exact"/>
        <w:ind w:firstLine="643" w:firstLineChars="200"/>
        <w:outlineLvl w:val="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2.满意度</w:t>
      </w:r>
    </w:p>
    <w:p w14:paraId="181692B7">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满意度指标：教职工满意度，指标值：</w:t>
      </w:r>
      <w:r>
        <w:rPr>
          <w:rFonts w:hint="eastAsia" w:ascii="仿宋_GB2312" w:hAnsi="仿宋_GB2312" w:eastAsia="仿宋_GB2312" w:cs="仿宋_GB2312"/>
          <w:sz w:val="32"/>
          <w:szCs w:val="32"/>
          <w:highlight w:val="none"/>
          <w:lang w:eastAsia="zh-CN"/>
        </w:rPr>
        <w:t>大于等于</w:t>
      </w:r>
      <w:r>
        <w:rPr>
          <w:rFonts w:hint="eastAsia" w:ascii="仿宋_GB2312" w:hAnsi="仿宋_GB2312" w:eastAsia="仿宋_GB2312" w:cs="仿宋_GB2312"/>
          <w:sz w:val="32"/>
          <w:szCs w:val="32"/>
          <w:highlight w:val="none"/>
        </w:rPr>
        <w:t>90%，实际完成值</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90</w:t>
      </w:r>
      <w:r>
        <w:rPr>
          <w:rFonts w:hint="eastAsia" w:ascii="仿宋_GB2312" w:hAnsi="仿宋_GB2312" w:eastAsia="仿宋_GB2312" w:cs="仿宋_GB2312"/>
          <w:sz w:val="32"/>
          <w:szCs w:val="32"/>
          <w:highlight w:val="none"/>
        </w:rPr>
        <w:t>%。偏差原因：指定目标是采用大于等于的方式指定，满意率为100%时产生偏差。改进措施：在今后的项目目标设置时，更合理的指定目标，降低偏差值。</w:t>
      </w:r>
    </w:p>
    <w:p w14:paraId="246B04BC">
      <w:pPr>
        <w:spacing w:line="560" w:lineRule="exact"/>
        <w:ind w:firstLine="640" w:firstLineChars="200"/>
        <w:rPr>
          <w:rStyle w:val="18"/>
          <w:rFonts w:ascii="Times New Roman" w:hAnsi="Times New Roman" w:cs="Times New Roman"/>
          <w:color w:val="auto"/>
        </w:rPr>
      </w:pPr>
      <w:r>
        <w:rPr>
          <w:rFonts w:hint="eastAsia" w:eastAsia="黑体"/>
          <w:sz w:val="32"/>
          <w:szCs w:val="32"/>
          <w:lang w:val="en-US" w:eastAsia="zh-CN"/>
        </w:rPr>
        <w:t>五</w:t>
      </w:r>
      <w:r>
        <w:rPr>
          <w:rFonts w:eastAsia="黑体"/>
          <w:sz w:val="32"/>
          <w:szCs w:val="32"/>
        </w:rPr>
        <w:t>、主要经验及做法、存在的问题及原因分析</w:t>
      </w:r>
    </w:p>
    <w:p w14:paraId="203FDCE8">
      <w:pPr>
        <w:spacing w:line="560" w:lineRule="exact"/>
        <w:ind w:firstLine="627" w:firstLineChars="200"/>
        <w:rPr>
          <w:rFonts w:eastAsia="楷体"/>
          <w:b/>
          <w:spacing w:val="-4"/>
          <w:sz w:val="32"/>
          <w:szCs w:val="32"/>
        </w:rPr>
      </w:pPr>
      <w:r>
        <w:rPr>
          <w:rFonts w:eastAsia="楷体"/>
          <w:b/>
          <w:spacing w:val="-4"/>
          <w:sz w:val="32"/>
          <w:szCs w:val="32"/>
        </w:rPr>
        <w:t>（一）主要经验及做法</w:t>
      </w:r>
    </w:p>
    <w:p w14:paraId="40746817">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严格按照预算科目执行，安排专人对预算项目执行情况进行定期和不定期的督查，确保资金的专款专用和及时使用，发挥资金的使用效益。按财政专项资金管理的有关规定科学地编制项目预算，设定绩效目标。项目在实施过程如实际情况发生变化应按程序及时调整预算和绩效目标。</w:t>
      </w:r>
    </w:p>
    <w:p w14:paraId="2B61D362">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按照国家财经法规，从实际出发不断建立完善预算执行制度，并严格执行。提升预算编制的完整性，将所有政府收支项目纳入预算管理，结合单位实际情况出发，综合安排各项经费支出，确保支出的准确性及时性。</w:t>
      </w:r>
    </w:p>
    <w:p w14:paraId="06C5C376">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29615C2F">
      <w:pPr>
        <w:pStyle w:val="2"/>
        <w:spacing w:before="0" w:after="0" w:line="560" w:lineRule="exact"/>
        <w:ind w:firstLine="640" w:firstLineChars="200"/>
        <w:jc w:val="left"/>
        <w:rPr>
          <w:rFonts w:hint="eastAsia" w:ascii="方正仿宋_GBK" w:hAnsi="方正仿宋_GBK" w:eastAsia="方正仿宋_GBK" w:cs="方正仿宋_GBK"/>
          <w:b w:val="0"/>
          <w:bCs w:val="0"/>
          <w:kern w:val="2"/>
        </w:rPr>
      </w:pPr>
      <w:r>
        <w:rPr>
          <w:rFonts w:hint="eastAsia" w:ascii="方正仿宋_GBK" w:hAnsi="方正仿宋_GBK" w:eastAsia="方正仿宋_GBK" w:cs="方正仿宋_GBK"/>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43F6125F">
      <w:pPr>
        <w:keepNext/>
        <w:keepLines/>
        <w:numPr>
          <w:ilvl w:val="0"/>
          <w:numId w:val="5"/>
        </w:numPr>
        <w:spacing w:line="560" w:lineRule="exact"/>
        <w:ind w:firstLine="643" w:firstLineChars="200"/>
        <w:rPr>
          <w:rFonts w:eastAsia="楷体_GB2312"/>
          <w:b/>
          <w:bCs/>
          <w:sz w:val="32"/>
          <w:szCs w:val="32"/>
        </w:rPr>
      </w:pPr>
      <w:r>
        <w:rPr>
          <w:rFonts w:eastAsia="楷体_GB2312"/>
          <w:b/>
          <w:bCs/>
          <w:sz w:val="32"/>
          <w:szCs w:val="32"/>
        </w:rPr>
        <w:t>存在的问题及原因分析</w:t>
      </w:r>
    </w:p>
    <w:p w14:paraId="2EBAB16E">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1.相关绩效管理方面专业知识的系统性学习有待加强。各项指标的设置要进一步优化、完善，主要在细化、量化上改进。在绩效自评过程中，</w:t>
      </w:r>
      <w:r>
        <w:rPr>
          <w:rFonts w:hint="eastAsia" w:ascii="方正仿宋_GBK" w:hAnsi="方正仿宋_GBK" w:eastAsia="方正仿宋_GBK" w:cs="方正仿宋_GBK"/>
          <w:sz w:val="32"/>
          <w:szCs w:val="32"/>
          <w:lang w:val="en-US" w:eastAsia="zh-CN"/>
        </w:rPr>
        <w:t>由于部分人员</w:t>
      </w:r>
      <w:r>
        <w:rPr>
          <w:rFonts w:hint="eastAsia" w:ascii="方正仿宋_GBK" w:hAnsi="方正仿宋_GBK" w:eastAsia="方正仿宋_GBK" w:cs="方正仿宋_GBK"/>
          <w:sz w:val="32"/>
          <w:szCs w:val="32"/>
        </w:rPr>
        <w:t>缺乏相关绩效管理专业知识，自评价工作还存在自我审定的局限性，影响评价质量。</w:t>
      </w:r>
    </w:p>
    <w:p w14:paraId="1961A23D">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2.因轮岗、调动、等因素使我单位绩效工作人员流动频繁，造成了工作衔接不到位的情况。</w:t>
      </w:r>
    </w:p>
    <w:p w14:paraId="0BAE0CCE">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3.预算编制的合理性相对不足，主要表现在预算调整数较大，年度目标与长期规划衔接的紧密程度需要增强。</w:t>
      </w:r>
    </w:p>
    <w:p w14:paraId="57847B99">
      <w:pPr>
        <w:spacing w:line="560" w:lineRule="exact"/>
        <w:ind w:firstLine="640" w:firstLineChars="200"/>
        <w:rPr>
          <w:rFonts w:eastAsia="黑体"/>
          <w:sz w:val="32"/>
          <w:szCs w:val="32"/>
        </w:rPr>
      </w:pPr>
      <w:r>
        <w:rPr>
          <w:rFonts w:hint="eastAsia" w:eastAsia="黑体"/>
          <w:sz w:val="32"/>
          <w:szCs w:val="32"/>
          <w:lang w:val="en-US" w:eastAsia="zh-CN"/>
        </w:rPr>
        <w:t>六</w:t>
      </w:r>
      <w:r>
        <w:rPr>
          <w:rFonts w:hint="eastAsia" w:eastAsia="黑体"/>
          <w:sz w:val="32"/>
          <w:szCs w:val="32"/>
        </w:rPr>
        <w:t>、</w:t>
      </w:r>
      <w:r>
        <w:rPr>
          <w:rFonts w:eastAsia="黑体"/>
          <w:sz w:val="32"/>
          <w:szCs w:val="32"/>
        </w:rPr>
        <w:t>有关建议</w:t>
      </w:r>
    </w:p>
    <w:p w14:paraId="3CAAB739">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1.多进行有关绩效管理工作方面的培训。积极组织第三方开展绩效管理工作培训，进一步夯实业务基础，提高我单位绩效人员水平。</w:t>
      </w:r>
    </w:p>
    <w:p w14:paraId="01EBC023">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2.专门设定对绩效工作人员定职、定岗、定责等相关制度措施，进一步提升我单位绩效管理工作业务水平，扎实做好绩效管理工作。</w:t>
      </w:r>
    </w:p>
    <w:p w14:paraId="76E65B6D">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154313FF">
      <w:pPr>
        <w:spacing w:line="600" w:lineRule="exact"/>
        <w:ind w:firstLine="640" w:firstLineChars="200"/>
        <w:outlineLvl w:val="0"/>
        <w:rPr>
          <w:rFonts w:hint="eastAsia" w:ascii="方正仿宋_GBK" w:hAnsi="方正仿宋_GBK" w:eastAsia="方正仿宋_GBK" w:cs="方正仿宋_GBK"/>
          <w:sz w:val="22"/>
          <w:szCs w:val="28"/>
        </w:rPr>
      </w:pPr>
      <w:r>
        <w:rPr>
          <w:rFonts w:hint="eastAsia" w:ascii="方正仿宋_GBK" w:hAnsi="方正仿宋_GBK" w:eastAsia="方正仿宋_GBK" w:cs="方正仿宋_GBK"/>
          <w:sz w:val="32"/>
          <w:szCs w:val="32"/>
        </w:rPr>
        <w:t>4.进一步完善项目评价过程中有关数据和资料的收集、整理、审核及分析。项目启动时同步做好档案的归纳与整理，及时整理、收集、汇总，健全档案资料。项目后续管理有待进一步加强和跟踪</w:t>
      </w:r>
      <w:r>
        <w:rPr>
          <w:rFonts w:hint="eastAsia" w:ascii="方正仿宋_GBK" w:hAnsi="方正仿宋_GBK" w:eastAsia="方正仿宋_GBK" w:cs="方正仿宋_GBK"/>
          <w:sz w:val="36"/>
          <w:szCs w:val="32"/>
        </w:rPr>
        <w:t>。</w:t>
      </w:r>
    </w:p>
    <w:p w14:paraId="7DA47756">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5EA63426">
      <w:pPr>
        <w:ind w:firstLine="640" w:firstLineChars="200"/>
        <w:rPr>
          <w:rFonts w:eastAsia="黑体"/>
          <w:sz w:val="32"/>
          <w:szCs w:val="32"/>
        </w:rPr>
      </w:pPr>
      <w:r>
        <w:rPr>
          <w:rFonts w:hint="eastAsia" w:eastAsia="黑体"/>
          <w:sz w:val="32"/>
          <w:szCs w:val="32"/>
          <w:lang w:val="en-US" w:eastAsia="zh-CN"/>
        </w:rPr>
        <w:t>七</w:t>
      </w:r>
      <w:r>
        <w:rPr>
          <w:rFonts w:hint="eastAsia" w:eastAsia="黑体"/>
          <w:sz w:val="32"/>
          <w:szCs w:val="32"/>
        </w:rPr>
        <w:t>、</w:t>
      </w:r>
      <w:r>
        <w:rPr>
          <w:rFonts w:eastAsia="黑体"/>
          <w:sz w:val="32"/>
          <w:szCs w:val="32"/>
        </w:rPr>
        <w:t>其他需要说</w:t>
      </w:r>
      <w:bookmarkStart w:id="2" w:name="page8"/>
      <w:bookmarkEnd w:id="2"/>
      <w:r>
        <w:rPr>
          <w:rFonts w:eastAsia="黑体"/>
          <w:sz w:val="32"/>
          <w:szCs w:val="32"/>
        </w:rPr>
        <w:t>明的问题</w:t>
      </w:r>
    </w:p>
    <w:p w14:paraId="5313FCA4">
      <w:pPr>
        <w:pStyle w:val="10"/>
        <w:spacing w:after="0" w:line="560" w:lineRule="exact"/>
        <w:ind w:left="0" w:leftChars="0" w:firstLine="64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本项目无其他需说明的问题。</w:t>
      </w:r>
    </w:p>
    <w:p w14:paraId="16756FF8">
      <w:bookmarkStart w:id="3" w:name="_GoBack"/>
      <w:bookmarkEnd w:id="3"/>
    </w:p>
    <w:sectPr>
      <w:footerReference r:id="rId4" w:type="default"/>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321DD82-F7F6-446A-9241-5BEA1EF053B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1D254AA4-C972-45E6-A8AA-91034A43E4E5}"/>
  </w:font>
  <w:font w:name="华文中宋">
    <w:panose1 w:val="02010600040101010101"/>
    <w:charset w:val="86"/>
    <w:family w:val="auto"/>
    <w:pitch w:val="default"/>
    <w:sig w:usb0="00000287" w:usb1="080F0000" w:usb2="00000000" w:usb3="00000000" w:csb0="0004009F" w:csb1="DFD70000"/>
    <w:embedRegular r:id="rId3" w:fontKey="{F2D6F7D2-5F81-4EC6-B7B3-F08F1B010205}"/>
  </w:font>
  <w:font w:name="方正小标宋_GBK">
    <w:panose1 w:val="03000509000000000000"/>
    <w:charset w:val="86"/>
    <w:family w:val="script"/>
    <w:pitch w:val="default"/>
    <w:sig w:usb0="00000001" w:usb1="080E0000" w:usb2="00000000" w:usb3="00000000" w:csb0="00040000" w:csb1="00000000"/>
    <w:embedRegular r:id="rId4" w:fontKey="{31DA44B1-1C66-4729-8DCA-3B4832AF9A18}"/>
  </w:font>
  <w:font w:name="楷体_GB2312">
    <w:panose1 w:val="02010609030101010101"/>
    <w:charset w:val="86"/>
    <w:family w:val="auto"/>
    <w:pitch w:val="default"/>
    <w:sig w:usb0="00000001" w:usb1="080E0000" w:usb2="00000000" w:usb3="00000000" w:csb0="00040000" w:csb1="00000000"/>
    <w:embedRegular r:id="rId5" w:fontKey="{73C69F96-D6E4-449B-B1D4-1A5783C0DC35}"/>
  </w:font>
  <w:font w:name="仿宋">
    <w:panose1 w:val="02010609060101010101"/>
    <w:charset w:val="86"/>
    <w:family w:val="auto"/>
    <w:pitch w:val="default"/>
    <w:sig w:usb0="800002BF" w:usb1="38CF7CFA" w:usb2="00000016" w:usb3="00000000" w:csb0="00040001" w:csb1="00000000"/>
    <w:embedRegular r:id="rId6" w:fontKey="{4D860239-9412-42E3-BDA3-F23F5694A4EE}"/>
  </w:font>
  <w:font w:name="方正仿宋_GB2312">
    <w:panose1 w:val="02000000000000000000"/>
    <w:charset w:val="86"/>
    <w:family w:val="auto"/>
    <w:pitch w:val="default"/>
    <w:sig w:usb0="A00002BF" w:usb1="184F6CFA" w:usb2="00000012" w:usb3="00000000" w:csb0="00040001" w:csb1="00000000"/>
    <w:embedRegular r:id="rId7" w:fontKey="{2A35D1E9-B31C-4572-A117-8B9CE3EFFF51}"/>
  </w:font>
  <w:font w:name="方正仿宋_GBK">
    <w:panose1 w:val="03000509000000000000"/>
    <w:charset w:val="86"/>
    <w:family w:val="auto"/>
    <w:pitch w:val="default"/>
    <w:sig w:usb0="00000001" w:usb1="080E0000" w:usb2="00000000" w:usb3="00000000" w:csb0="00040000" w:csb1="00000000"/>
    <w:embedRegular r:id="rId8" w:fontKey="{1FE773A7-682C-4A2D-853C-CF5020DF2FE7}"/>
  </w:font>
  <w:font w:name="楷体">
    <w:panose1 w:val="02010609060101010101"/>
    <w:charset w:val="86"/>
    <w:family w:val="modern"/>
    <w:pitch w:val="default"/>
    <w:sig w:usb0="800002BF" w:usb1="38CF7CFA" w:usb2="00000016" w:usb3="00000000" w:csb0="00040001" w:csb1="00000000"/>
    <w:embedRegular r:id="rId9" w:fontKey="{52E5F5D8-9553-4BBC-8AC7-E441A83495B1}"/>
  </w:font>
  <w:font w:name="WPSEMBED1">
    <w:panose1 w:val="03000509000000000000"/>
    <w:charset w:val="86"/>
    <w:family w:val="auto"/>
    <w:pitch w:val="default"/>
    <w:sig w:usb0="00000001" w:usb1="080E0000" w:usb2="00000000" w:usb3="00000000" w:csb0="00040000" w:csb1="00000000"/>
  </w:font>
  <w:font w:name="WPSEMBED2">
    <w:panose1 w:val="02010609030101010101"/>
    <w:charset w:val="86"/>
    <w:family w:val="auto"/>
    <w:pitch w:val="default"/>
    <w:sig w:usb0="00000001" w:usb1="080E0000" w:usb2="00000000" w:usb3="00000000" w:csb0="00040000" w:csb1="00000000"/>
  </w:font>
  <w:font w:name="WPSEMBED4">
    <w:panose1 w:val="03000509000000000000"/>
    <w:charset w:val="86"/>
    <w:family w:val="auto"/>
    <w:pitch w:val="default"/>
    <w:sig w:usb0="00000001" w:usb1="080E0000" w:usb2="00000000" w:usb3="00000000" w:csb0="00040000" w:csb1="00000000"/>
  </w:font>
  <w:font w:name="WPSEMBED3">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83024A">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5458"/>
    </w:sdtPr>
    <w:sdtContent>
      <w:p w14:paraId="6E49AFDC">
        <w:pPr>
          <w:pStyle w:val="7"/>
          <w:jc w:val="center"/>
        </w:pPr>
        <w:r>
          <w:fldChar w:fldCharType="begin"/>
        </w:r>
        <w:r>
          <w:instrText xml:space="preserve">PAGE   \* MERGEFORMAT</w:instrText>
        </w:r>
        <w:r>
          <w:fldChar w:fldCharType="separate"/>
        </w:r>
        <w:r>
          <w:rPr>
            <w:lang w:val="zh-CN"/>
          </w:rPr>
          <w:t>13</w:t>
        </w:r>
        <w:r>
          <w:fldChar w:fldCharType="end"/>
        </w:r>
      </w:p>
    </w:sdtContent>
  </w:sdt>
  <w:p w14:paraId="782BE9A1">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2"/>
      <w:numFmt w:val="chineseCounting"/>
      <w:suff w:val="nothing"/>
      <w:lvlText w:val="（%1）"/>
      <w:lvlJc w:val="left"/>
      <w:rPr>
        <w:rFonts w:hint="eastAsia"/>
      </w:rPr>
    </w:lvl>
  </w:abstractNum>
  <w:abstractNum w:abstractNumId="1">
    <w:nsid w:val="BF205925"/>
    <w:multiLevelType w:val="singleLevel"/>
    <w:tmpl w:val="BF205925"/>
    <w:lvl w:ilvl="0" w:tentative="0">
      <w:start w:val="2"/>
      <w:numFmt w:val="chineseCounting"/>
      <w:suff w:val="nothing"/>
      <w:lvlText w:val="（%1）"/>
      <w:lvlJc w:val="left"/>
      <w:rPr>
        <w:rFonts w:hint="eastAsia"/>
      </w:rPr>
    </w:lvl>
  </w:abstractNum>
  <w:abstractNum w:abstractNumId="2">
    <w:nsid w:val="CF092B84"/>
    <w:multiLevelType w:val="singleLevel"/>
    <w:tmpl w:val="CF092B84"/>
    <w:lvl w:ilvl="0" w:tentative="0">
      <w:start w:val="3"/>
      <w:numFmt w:val="chineseCounting"/>
      <w:suff w:val="nothing"/>
      <w:lvlText w:val="（%1）"/>
      <w:lvlJc w:val="left"/>
      <w:rPr>
        <w:rFonts w:hint="eastAsia"/>
      </w:rPr>
    </w:lvl>
  </w:abstractNum>
  <w:abstractNum w:abstractNumId="3">
    <w:nsid w:val="0053208E"/>
    <w:multiLevelType w:val="singleLevel"/>
    <w:tmpl w:val="0053208E"/>
    <w:lvl w:ilvl="0" w:tentative="0">
      <w:start w:val="1"/>
      <w:numFmt w:val="decimal"/>
      <w:suff w:val="nothing"/>
      <w:lvlText w:val="（%1）"/>
      <w:lvlJc w:val="left"/>
    </w:lvl>
  </w:abstractNum>
  <w:abstractNum w:abstractNumId="4">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2NTU0MWNlMTdmZDllOTYxYjJiZGVlZTI3NjFlNmQifQ=="/>
  </w:docVars>
  <w:rsids>
    <w:rsidRoot w:val="00000000"/>
    <w:rsid w:val="4D966D40"/>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qFormat/>
    <w:uiPriority w:val="0"/>
    <w:pPr>
      <w:spacing w:after="0"/>
      <w:ind w:firstLine="200" w:firstLineChars="200"/>
    </w:pPr>
  </w:style>
  <w:style w:type="paragraph" w:styleId="10">
    <w:name w:val="Body Text First Indent 2"/>
    <w:basedOn w:val="5"/>
    <w:qFormat/>
    <w:uiPriority w:val="0"/>
    <w:pPr>
      <w:ind w:firstLine="420" w:firstLineChars="200"/>
    </w:pPr>
  </w:style>
  <w:style w:type="table" w:styleId="12">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4">
    <w:name w:val="Strong"/>
    <w:basedOn w:val="13"/>
    <w:qFormat/>
    <w:uiPriority w:val="0"/>
    <w:rPr>
      <w:b/>
      <w:bCs/>
    </w:rPr>
  </w:style>
  <w:style w:type="paragraph" w:customStyle="1" w:styleId="15">
    <w:name w:val="Comment Text"/>
    <w:basedOn w:val="1"/>
    <w:link w:val="22"/>
    <w:qFormat/>
    <w:uiPriority w:val="0"/>
    <w:pPr>
      <w:jc w:val="left"/>
    </w:pPr>
  </w:style>
  <w:style w:type="paragraph" w:customStyle="1" w:styleId="16">
    <w:name w:val="Comment Subject"/>
    <w:basedOn w:val="15"/>
    <w:next w:val="15"/>
    <w:link w:val="23"/>
    <w:qFormat/>
    <w:uiPriority w:val="0"/>
    <w:rPr>
      <w:b/>
      <w:bCs/>
    </w:rPr>
  </w:style>
  <w:style w:type="character" w:customStyle="1" w:styleId="17">
    <w:name w:val="Comment Reference"/>
    <w:basedOn w:val="13"/>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3"/>
    <w:link w:val="6"/>
    <w:qFormat/>
    <w:uiPriority w:val="0"/>
    <w:rPr>
      <w:rFonts w:ascii="Times New Roman" w:hAnsi="Times New Roman" w:eastAsia="宋体" w:cs="Times New Roman"/>
      <w:kern w:val="2"/>
      <w:sz w:val="18"/>
      <w:szCs w:val="18"/>
    </w:rPr>
  </w:style>
  <w:style w:type="character" w:customStyle="1" w:styleId="21">
    <w:name w:val="页眉 字符"/>
    <w:basedOn w:val="13"/>
    <w:link w:val="8"/>
    <w:qFormat/>
    <w:uiPriority w:val="0"/>
    <w:rPr>
      <w:rFonts w:ascii="Times New Roman" w:hAnsi="Times New Roman" w:eastAsia="宋体" w:cs="Times New Roman"/>
      <w:kern w:val="2"/>
      <w:sz w:val="18"/>
      <w:szCs w:val="18"/>
    </w:rPr>
  </w:style>
  <w:style w:type="character" w:customStyle="1" w:styleId="22">
    <w:name w:val="批注文字 字符"/>
    <w:basedOn w:val="13"/>
    <w:link w:val="15"/>
    <w:qFormat/>
    <w:uiPriority w:val="0"/>
    <w:rPr>
      <w:rFonts w:ascii="Times New Roman" w:hAnsi="Times New Roman" w:eastAsia="宋体" w:cs="Times New Roman"/>
      <w:kern w:val="2"/>
      <w:sz w:val="21"/>
      <w:szCs w:val="24"/>
    </w:rPr>
  </w:style>
  <w:style w:type="character" w:customStyle="1" w:styleId="23">
    <w:name w:val="批注主题 字符"/>
    <w:basedOn w:val="22"/>
    <w:link w:val="16"/>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35462C0B3FB543198819AAAFD75799DD_13</vt:lpwstr>
  </property>
  <property fmtid="{D5CDD505-2E9C-101B-9397-08002B2CF9AE}" pid="4" name="KSOTemplateDocerSaveRecord">
    <vt:lpwstr>eyJoZGlkIjoiZjFmZWIzNDg2MmIzZjExOTIzMmViNTBmYTMwYTk0ZWYiLCJ1c2VySWQiOiI0MTgzMjQ1MDUifQ==</vt:lpwstr>
  </property>
</Properties>
</file>

<file path=customXml/itemProps1.xml><?xml version="1.0" encoding="utf-8"?>
<ds:datastoreItem xmlns:ds="http://schemas.openxmlformats.org/officeDocument/2006/customXml" ds:itemID="{EEA5C986-6CAE-461A-935E-905AB5D0E2F3}">
  <ds:schemaRefs/>
</ds:datastoreItem>
</file>

<file path=customXml/itemProps2.xml><?xml version="1.0" encoding="utf-8"?>
<ds:datastoreItem xmlns:ds="http://schemas.openxmlformats.org/officeDocument/2006/customXml" ds:itemID="{fc69b1a7-15be-47e0-bef3-08e3a98e1d6a}">
  <ds:schemaRefs/>
</ds:datastoreItem>
</file>

<file path=docProps/app.xml><?xml version="1.0" encoding="utf-8"?>
<Properties xmlns="http://schemas.openxmlformats.org/officeDocument/2006/extended-properties" xmlns:vt="http://schemas.openxmlformats.org/officeDocument/2006/docPropsVTypes">
  <Template>Normal</Template>
  <Pages>22</Pages>
  <Words>8854</Words>
  <Characters>9347</Characters>
  <Lines>66</Lines>
  <Paragraphs>18</Paragraphs>
  <TotalTime>1</TotalTime>
  <ScaleCrop>false</ScaleCrop>
  <LinksUpToDate>false</LinksUpToDate>
  <CharactersWithSpaces>9356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忆</cp:lastModifiedBy>
  <dcterms:modified xsi:type="dcterms:W3CDTF">2025-11-05T07:51:47Z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35462C0B3FB543198819AAAFD75799DD_13</vt:lpwstr>
  </property>
  <property fmtid="{D5CDD505-2E9C-101B-9397-08002B2CF9AE}" pid="4" name="KSOTemplateDocerSaveRecord">
    <vt:lpwstr>eyJoZGlkIjoiZWE5M2E4OTRkNmEwYTUyNjM2Mzg3NThiMTA5NmIzZWUiLCJ1c2VySWQiOiI0OTMxMTE3MjUifQ==</vt:lpwstr>
  </property>
</Properties>
</file>